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35230" w:rsidRDefault="00000000">
      <w:pPr>
        <w:spacing w:after="200"/>
        <w:jc w:val="center"/>
        <w:rPr>
          <w:rFonts w:ascii="Calibri" w:eastAsia="Calibri" w:hAnsi="Calibri" w:cs="Calibri"/>
        </w:rPr>
      </w:pPr>
      <w:r>
        <w:rPr>
          <w:rFonts w:ascii="Times New Roman" w:eastAsia="Times New Roman" w:hAnsi="Times New Roman" w:cs="Times New Roman"/>
          <w:b/>
          <w:bCs/>
          <w:sz w:val="26"/>
          <w:szCs w:val="26"/>
        </w:rPr>
        <w:t>Note sur la légalité pénale des lois de pénalisation de l’homosexualité</w:t>
      </w:r>
    </w:p>
    <w:p w14:paraId="00000002"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note est à utiliser pour les affaires dans lesquelles l’élément légal ne suit pas les règles de la légalité pénale du fait de leur caractère abstrait, incertain et vague. Dans certains pays, nous retrouverons des lois pénalisant les actes homosexuels en employant des termes comme « contre-nature », « contre l’ordre naturel », « indécent », « contre les bonnes mœurs », « atteinte à la pudeur », « outrage à la pudeur », « atteinte aux moeurs », « débauche » etc.</w:t>
      </w:r>
    </w:p>
    <w:p w14:paraId="00000003"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sz w:val="24"/>
          <w:szCs w:val="24"/>
          <w:highlight w:val="white"/>
        </w:rPr>
        <w:t xml:space="preserve">légalité pénale est composée de quatre principes : </w:t>
      </w:r>
    </w:p>
    <w:p w14:paraId="00000004" w14:textId="77777777" w:rsidR="00135230" w:rsidRDefault="00000000">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lex certa</w:t>
      </w:r>
      <w:r>
        <w:rPr>
          <w:rFonts w:ascii="Times New Roman" w:eastAsia="Times New Roman" w:hAnsi="Times New Roman" w:cs="Times New Roman"/>
          <w:sz w:val="24"/>
          <w:szCs w:val="24"/>
          <w:highlight w:val="white"/>
        </w:rPr>
        <w:t xml:space="preserve"> : l’obligation d’élaborer les dispositions pénales dans un langage précis et non équivoque de sorte à ce que la loi soit prévisible</w:t>
      </w:r>
    </w:p>
    <w:p w14:paraId="00000005" w14:textId="77777777" w:rsidR="00135230" w:rsidRDefault="00000000">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lex scripta</w:t>
      </w:r>
      <w:r>
        <w:rPr>
          <w:rFonts w:ascii="Times New Roman" w:eastAsia="Times New Roman" w:hAnsi="Times New Roman" w:cs="Times New Roman"/>
          <w:sz w:val="24"/>
          <w:szCs w:val="24"/>
          <w:highlight w:val="white"/>
        </w:rPr>
        <w:t xml:space="preserve"> : l’obligation que la norme pénale soit érigée par un texte écrit</w:t>
      </w:r>
    </w:p>
    <w:p w14:paraId="00000006" w14:textId="77777777" w:rsidR="00135230" w:rsidRDefault="00000000">
      <w:pPr>
        <w:numPr>
          <w:ilvl w:val="0"/>
          <w:numId w:val="2"/>
        </w:num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lex stricta</w:t>
      </w:r>
      <w:r>
        <w:rPr>
          <w:rFonts w:ascii="Times New Roman" w:eastAsia="Times New Roman" w:hAnsi="Times New Roman" w:cs="Times New Roman"/>
          <w:sz w:val="24"/>
          <w:szCs w:val="24"/>
          <w:highlight w:val="white"/>
        </w:rPr>
        <w:t xml:space="preserve"> : l’obligation d’interprétation stricte de la loi pénale et interdiction d’interprétation par analogie </w:t>
      </w:r>
    </w:p>
    <w:p w14:paraId="00000007" w14:textId="77777777" w:rsidR="00135230" w:rsidRDefault="00000000">
      <w:pPr>
        <w:numPr>
          <w:ilvl w:val="0"/>
          <w:numId w:val="2"/>
        </w:num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lex praevia</w:t>
      </w:r>
      <w:r>
        <w:rPr>
          <w:rFonts w:ascii="Times New Roman" w:eastAsia="Times New Roman" w:hAnsi="Times New Roman" w:cs="Times New Roman"/>
          <w:sz w:val="24"/>
          <w:szCs w:val="24"/>
          <w:highlight w:val="white"/>
        </w:rPr>
        <w:t xml:space="preserve"> : l’interdiction d’appliquer la loi pénale de manière rétroactive, exception faite des cas où celle-ci est plus favorable à la personne faisant l’objet d’une enquête, de poursuites ou d’une condamnation.</w:t>
      </w:r>
      <w:r>
        <w:rPr>
          <w:rFonts w:ascii="Times New Roman" w:eastAsia="Times New Roman" w:hAnsi="Times New Roman" w:cs="Times New Roman"/>
          <w:sz w:val="24"/>
          <w:szCs w:val="24"/>
          <w:highlight w:val="white"/>
          <w:vertAlign w:val="superscript"/>
        </w:rPr>
        <w:footnoteReference w:id="1"/>
      </w:r>
    </w:p>
    <w:p w14:paraId="00000008" w14:textId="77777777" w:rsidR="00135230" w:rsidRDefault="00000000">
      <w:p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Cette note concernera en particulier les principes de </w:t>
      </w:r>
      <w:r>
        <w:rPr>
          <w:rFonts w:ascii="Times New Roman" w:eastAsia="Times New Roman" w:hAnsi="Times New Roman" w:cs="Times New Roman"/>
          <w:i/>
          <w:iCs/>
          <w:sz w:val="24"/>
          <w:szCs w:val="24"/>
          <w:highlight w:val="white"/>
        </w:rPr>
        <w:t>lex certa</w:t>
      </w:r>
      <w:r>
        <w:rPr>
          <w:rFonts w:ascii="Times New Roman" w:eastAsia="Times New Roman" w:hAnsi="Times New Roman" w:cs="Times New Roman"/>
          <w:sz w:val="24"/>
          <w:szCs w:val="24"/>
          <w:highlight w:val="white"/>
        </w:rPr>
        <w:t xml:space="preserve"> et de </w:t>
      </w:r>
      <w:r>
        <w:rPr>
          <w:rFonts w:ascii="Times New Roman" w:eastAsia="Times New Roman" w:hAnsi="Times New Roman" w:cs="Times New Roman"/>
          <w:i/>
          <w:iCs/>
          <w:sz w:val="24"/>
          <w:szCs w:val="24"/>
          <w:highlight w:val="white"/>
        </w:rPr>
        <w:t>lex stricta</w:t>
      </w:r>
      <w:r>
        <w:rPr>
          <w:rFonts w:ascii="Times New Roman" w:eastAsia="Times New Roman" w:hAnsi="Times New Roman" w:cs="Times New Roman"/>
          <w:sz w:val="24"/>
          <w:szCs w:val="24"/>
          <w:highlight w:val="white"/>
        </w:rPr>
        <w:t>, afin d’argumenter contre les normes pénales vagues telles que celles pénalisant l’homosexualité dans certains pays.</w:t>
      </w:r>
    </w:p>
    <w:p w14:paraId="00000009" w14:textId="77777777" w:rsidR="00135230" w:rsidRDefault="00000000">
      <w:p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Cette note prend également le parti de considérer que, malgré l’absence de référence expresse des concepts d’interprétation stricte et de langage non équivoque dans les conventions internationales, ceux-ci font partie intégrante du principe plus général de légalité pénale. Le développement ci-dessous le démontrera.</w:t>
      </w:r>
      <w:r>
        <w:rPr>
          <w:rFonts w:ascii="Times New Roman" w:eastAsia="Times New Roman" w:hAnsi="Times New Roman" w:cs="Times New Roman"/>
          <w:sz w:val="24"/>
          <w:szCs w:val="24"/>
          <w:highlight w:val="white"/>
          <w:vertAlign w:val="superscript"/>
        </w:rPr>
        <w:footnoteReference w:id="2"/>
      </w:r>
      <w:r>
        <w:rPr>
          <w:rFonts w:ascii="Times New Roman" w:eastAsia="Times New Roman" w:hAnsi="Times New Roman" w:cs="Times New Roman"/>
          <w:sz w:val="24"/>
          <w:szCs w:val="24"/>
          <w:highlight w:val="white"/>
        </w:rPr>
        <w:t xml:space="preserve"> Néanmoins, la doctrine opère parfois une distinction entre les quatre sous-principes de la légalité pénale, ne reconnaissant comme coutume internationale et/ou principe général de droit qu’une partie de ces règles et non leur entièreté. Ainsi, si la </w:t>
      </w:r>
      <w:r w:rsidRPr="00663501">
        <w:rPr>
          <w:rFonts w:ascii="Times New Roman" w:eastAsia="Times New Roman" w:hAnsi="Times New Roman" w:cs="Times New Roman"/>
          <w:i/>
          <w:iCs/>
          <w:sz w:val="24"/>
          <w:szCs w:val="24"/>
          <w:highlight w:val="white"/>
        </w:rPr>
        <w:t>lex praevia</w:t>
      </w:r>
      <w:r>
        <w:rPr>
          <w:rFonts w:ascii="Times New Roman" w:eastAsia="Times New Roman" w:hAnsi="Times New Roman" w:cs="Times New Roman"/>
          <w:sz w:val="24"/>
          <w:szCs w:val="24"/>
          <w:highlight w:val="white"/>
        </w:rPr>
        <w:t xml:space="preserve"> et l’interdiction d’une interprétation extensive défavorable à l’accusé semblent largement reconnues, la portée coutumière ou générale de la </w:t>
      </w:r>
      <w:r w:rsidRPr="00663501">
        <w:rPr>
          <w:rFonts w:ascii="Times New Roman" w:eastAsia="Times New Roman" w:hAnsi="Times New Roman" w:cs="Times New Roman"/>
          <w:i/>
          <w:iCs/>
          <w:sz w:val="24"/>
          <w:szCs w:val="24"/>
          <w:highlight w:val="white"/>
        </w:rPr>
        <w:t>lex certa</w:t>
      </w:r>
      <w:r>
        <w:rPr>
          <w:rFonts w:ascii="Times New Roman" w:eastAsia="Times New Roman" w:hAnsi="Times New Roman" w:cs="Times New Roman"/>
          <w:sz w:val="24"/>
          <w:szCs w:val="24"/>
          <w:highlight w:val="white"/>
        </w:rPr>
        <w:t xml:space="preserve"> et de la </w:t>
      </w:r>
      <w:r w:rsidRPr="00663501">
        <w:rPr>
          <w:rFonts w:ascii="Times New Roman" w:eastAsia="Times New Roman" w:hAnsi="Times New Roman" w:cs="Times New Roman"/>
          <w:i/>
          <w:iCs/>
          <w:sz w:val="24"/>
          <w:szCs w:val="24"/>
          <w:highlight w:val="white"/>
        </w:rPr>
        <w:t>lex scripta</w:t>
      </w:r>
      <w:r>
        <w:rPr>
          <w:rFonts w:ascii="Times New Roman" w:eastAsia="Times New Roman" w:hAnsi="Times New Roman" w:cs="Times New Roman"/>
          <w:sz w:val="24"/>
          <w:szCs w:val="24"/>
          <w:highlight w:val="white"/>
        </w:rPr>
        <w:t xml:space="preserve"> doit être davantage nuancée.</w:t>
      </w:r>
      <w:r>
        <w:rPr>
          <w:rFonts w:ascii="Times New Roman" w:eastAsia="Times New Roman" w:hAnsi="Times New Roman" w:cs="Times New Roman"/>
          <w:sz w:val="24"/>
          <w:szCs w:val="24"/>
          <w:highlight w:val="white"/>
          <w:vertAlign w:val="superscript"/>
        </w:rPr>
        <w:footnoteReference w:id="3"/>
      </w:r>
      <w:r>
        <w:rPr>
          <w:rFonts w:ascii="Times New Roman" w:eastAsia="Times New Roman" w:hAnsi="Times New Roman" w:cs="Times New Roman"/>
          <w:sz w:val="24"/>
          <w:szCs w:val="24"/>
          <w:highlight w:val="white"/>
        </w:rPr>
        <w:t xml:space="preserve"> Ces distinctions sont à prendre en considération lors de l’élaboration de l’argumentaire juridique à apposer aux législations de pénalisation de l’homosexualité. </w:t>
      </w:r>
    </w:p>
    <w:p w14:paraId="0000000A" w14:textId="77777777" w:rsidR="00135230" w:rsidRDefault="00135230">
      <w:pPr>
        <w:spacing w:after="200"/>
        <w:jc w:val="both"/>
        <w:rPr>
          <w:rFonts w:ascii="Times New Roman" w:eastAsia="Times New Roman" w:hAnsi="Times New Roman" w:cs="Times New Roman"/>
          <w:sz w:val="24"/>
          <w:szCs w:val="24"/>
        </w:rPr>
      </w:pPr>
    </w:p>
    <w:p w14:paraId="0000000B" w14:textId="77777777" w:rsidR="00135230" w:rsidRDefault="00000000">
      <w:pPr>
        <w:numPr>
          <w:ilvl w:val="0"/>
          <w:numId w:val="3"/>
        </w:num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Le principe de légalité pénale : une garantie fondamentale contre l’arbitraire pénal</w:t>
      </w:r>
    </w:p>
    <w:p w14:paraId="0000000C" w14:textId="77777777" w:rsidR="00135230" w:rsidRDefault="00000000">
      <w:pPr>
        <w:numPr>
          <w:ilvl w:val="1"/>
          <w:numId w:val="3"/>
        </w:numPr>
        <w:pBdr>
          <w:top w:val="nil"/>
          <w:left w:val="nil"/>
          <w:bottom w:val="nil"/>
          <w:right w:val="nil"/>
          <w:between w:val="nil"/>
        </w:pBdr>
        <w:spacing w:after="200" w:line="36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u w:val="single"/>
        </w:rPr>
        <w:t>La reconnaissance conventionnelle du principe par les instruments internationaux et régionaux de protection des droits humains</w:t>
      </w:r>
    </w:p>
    <w:p w14:paraId="0000000D"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w:t>
      </w:r>
      <w:r>
        <w:rPr>
          <w:rFonts w:ascii="Times New Roman" w:eastAsia="Times New Roman" w:hAnsi="Times New Roman" w:cs="Times New Roman"/>
          <w:b/>
          <w:bCs/>
          <w:sz w:val="24"/>
          <w:szCs w:val="24"/>
        </w:rPr>
        <w:t>’article 11 de la Déclaration universelle des droits de l’Homme et l’article 15 (1)</w:t>
      </w:r>
      <w:r>
        <w:rPr>
          <w:rFonts w:ascii="Times New Roman" w:eastAsia="Times New Roman" w:hAnsi="Times New Roman" w:cs="Times New Roman"/>
          <w:sz w:val="24"/>
          <w:szCs w:val="24"/>
        </w:rPr>
        <w:t xml:space="preserve"> du </w:t>
      </w:r>
      <w:r>
        <w:rPr>
          <w:rFonts w:ascii="Times New Roman" w:eastAsia="Times New Roman" w:hAnsi="Times New Roman" w:cs="Times New Roman"/>
          <w:b/>
          <w:bCs/>
          <w:sz w:val="24"/>
          <w:szCs w:val="24"/>
        </w:rPr>
        <w:t xml:space="preserve">Pacte international relatif aux droits civils et politiques </w:t>
      </w:r>
      <w:r>
        <w:rPr>
          <w:rFonts w:ascii="Times New Roman" w:eastAsia="Times New Roman" w:hAnsi="Times New Roman" w:cs="Times New Roman"/>
          <w:sz w:val="24"/>
          <w:szCs w:val="24"/>
        </w:rPr>
        <w:t>fondent et définissent ce principe. L’</w:t>
      </w:r>
      <w:r>
        <w:rPr>
          <w:rFonts w:ascii="Times New Roman" w:eastAsia="Times New Roman" w:hAnsi="Times New Roman" w:cs="Times New Roman"/>
          <w:b/>
          <w:bCs/>
          <w:sz w:val="24"/>
          <w:szCs w:val="24"/>
        </w:rPr>
        <w:t xml:space="preserve">article 4 </w:t>
      </w:r>
      <w:r>
        <w:rPr>
          <w:rFonts w:ascii="Times New Roman" w:eastAsia="Times New Roman" w:hAnsi="Times New Roman" w:cs="Times New Roman"/>
          <w:sz w:val="24"/>
          <w:szCs w:val="24"/>
        </w:rPr>
        <w:t>de ce Pacte fait de ce droit, un droit indérogeable.</w:t>
      </w:r>
    </w:p>
    <w:p w14:paraId="0000000E"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 niveau régional, il est également consacré par l’</w:t>
      </w:r>
      <w:r>
        <w:rPr>
          <w:rFonts w:ascii="Times New Roman" w:eastAsia="Times New Roman" w:hAnsi="Times New Roman" w:cs="Times New Roman"/>
          <w:b/>
          <w:bCs/>
          <w:sz w:val="24"/>
          <w:szCs w:val="24"/>
        </w:rPr>
        <w:t xml:space="preserve">article </w:t>
      </w:r>
      <w:r>
        <w:rPr>
          <w:rFonts w:ascii="Times New Roman" w:eastAsia="Times New Roman" w:hAnsi="Times New Roman" w:cs="Times New Roman"/>
          <w:b/>
          <w:bCs/>
          <w:sz w:val="24"/>
          <w:szCs w:val="24"/>
          <w:highlight w:val="white"/>
        </w:rPr>
        <w:t>7(2)</w:t>
      </w:r>
      <w:r>
        <w:rPr>
          <w:rFonts w:ascii="Times New Roman" w:eastAsia="Times New Roman" w:hAnsi="Times New Roman" w:cs="Times New Roman"/>
          <w:sz w:val="24"/>
          <w:szCs w:val="24"/>
          <w:highlight w:val="white"/>
        </w:rPr>
        <w:t xml:space="preserve"> de la </w:t>
      </w:r>
      <w:r>
        <w:rPr>
          <w:rFonts w:ascii="Times New Roman" w:eastAsia="Times New Roman" w:hAnsi="Times New Roman" w:cs="Times New Roman"/>
          <w:b/>
          <w:bCs/>
          <w:sz w:val="24"/>
          <w:szCs w:val="24"/>
          <w:highlight w:val="white"/>
        </w:rPr>
        <w:t xml:space="preserve">Charte africaine des droits de l’Homme et des peuples </w:t>
      </w:r>
      <w:r>
        <w:rPr>
          <w:rFonts w:ascii="Times New Roman" w:eastAsia="Times New Roman" w:hAnsi="Times New Roman" w:cs="Times New Roman"/>
          <w:sz w:val="24"/>
          <w:szCs w:val="24"/>
          <w:highlight w:val="white"/>
        </w:rPr>
        <w:t>et par l’</w:t>
      </w:r>
      <w:r>
        <w:rPr>
          <w:rFonts w:ascii="Times New Roman" w:eastAsia="Times New Roman" w:hAnsi="Times New Roman" w:cs="Times New Roman"/>
          <w:sz w:val="24"/>
          <w:szCs w:val="24"/>
        </w:rPr>
        <w:t xml:space="preserve">article 7 de la </w:t>
      </w:r>
      <w:r>
        <w:rPr>
          <w:rFonts w:ascii="Times New Roman" w:eastAsia="Times New Roman" w:hAnsi="Times New Roman" w:cs="Times New Roman"/>
          <w:b/>
          <w:bCs/>
          <w:sz w:val="24"/>
          <w:szCs w:val="24"/>
        </w:rPr>
        <w:t>Convention Européenne des Droits de l’Homme</w:t>
      </w:r>
      <w:r>
        <w:rPr>
          <w:rFonts w:ascii="Times New Roman" w:eastAsia="Times New Roman" w:hAnsi="Times New Roman" w:cs="Times New Roman"/>
          <w:sz w:val="24"/>
          <w:szCs w:val="24"/>
        </w:rPr>
        <w:t>.</w:t>
      </w:r>
    </w:p>
    <w:p w14:paraId="0000000F"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Si les textes susmentionnés, portant sur les droits humains, consacrent le principe dans son acception la plus générale. </w:t>
      </w:r>
      <w:r>
        <w:rPr>
          <w:rFonts w:ascii="Times New Roman" w:eastAsia="Times New Roman" w:hAnsi="Times New Roman" w:cs="Times New Roman"/>
          <w:sz w:val="24"/>
          <w:szCs w:val="24"/>
        </w:rPr>
        <w:t>Le droit souple, le droit national, les principes généraux de droit ou encore la jurisprudence viennent préciser cette règle.</w:t>
      </w:r>
    </w:p>
    <w:p w14:paraId="00000010"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Ainsi, d’après le </w:t>
      </w:r>
      <w:r>
        <w:rPr>
          <w:rFonts w:ascii="Times New Roman" w:eastAsia="Times New Roman" w:hAnsi="Times New Roman" w:cs="Times New Roman"/>
          <w:b/>
          <w:bCs/>
          <w:sz w:val="24"/>
          <w:szCs w:val="24"/>
        </w:rPr>
        <w:t>Comité des droits de l’Homme</w:t>
      </w:r>
      <w:r>
        <w:rPr>
          <w:rFonts w:ascii="Times New Roman" w:eastAsia="Times New Roman" w:hAnsi="Times New Roman" w:cs="Times New Roman"/>
          <w:sz w:val="24"/>
          <w:szCs w:val="24"/>
        </w:rPr>
        <w:t xml:space="preserve"> dans son </w:t>
      </w:r>
      <w:r>
        <w:rPr>
          <w:rFonts w:ascii="Times New Roman" w:eastAsia="Times New Roman" w:hAnsi="Times New Roman" w:cs="Times New Roman"/>
          <w:b/>
          <w:bCs/>
          <w:sz w:val="24"/>
          <w:szCs w:val="24"/>
        </w:rPr>
        <w:t>Observation générale n°29</w:t>
      </w:r>
      <w:r>
        <w:rPr>
          <w:rFonts w:ascii="Times New Roman" w:eastAsia="Times New Roman" w:hAnsi="Times New Roman" w:cs="Times New Roman"/>
          <w:sz w:val="24"/>
          <w:szCs w:val="24"/>
        </w:rPr>
        <w:t>, la loi fondant la responsabilité pénale et les peines doit comporter des exigences de clarté et de précision quant à sa qualité.</w:t>
      </w:r>
      <w:r>
        <w:rPr>
          <w:rFonts w:ascii="Times New Roman" w:eastAsia="Times New Roman" w:hAnsi="Times New Roman" w:cs="Times New Roman"/>
          <w:sz w:val="24"/>
          <w:szCs w:val="24"/>
          <w:vertAlign w:val="superscript"/>
        </w:rPr>
        <w:footnoteReference w:id="4"/>
      </w:r>
    </w:p>
    <w:p w14:paraId="00000011" w14:textId="77777777" w:rsidR="00135230" w:rsidRDefault="00000000">
      <w:pPr>
        <w:spacing w:after="200"/>
        <w:jc w:val="both"/>
        <w:rPr>
          <w:rFonts w:ascii="Times New Roman" w:eastAsia="Times New Roman" w:hAnsi="Times New Roman" w:cs="Times New Roman"/>
          <w:b/>
          <w:bCs/>
          <w:color w:val="FF0000"/>
          <w:sz w:val="24"/>
          <w:szCs w:val="24"/>
          <w:highlight w:val="white"/>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bCs/>
          <w:sz w:val="24"/>
          <w:szCs w:val="24"/>
        </w:rPr>
        <w:t>Cour Européenne des Droits de l’Homme</w:t>
      </w:r>
      <w:r>
        <w:rPr>
          <w:rFonts w:ascii="Times New Roman" w:eastAsia="Times New Roman" w:hAnsi="Times New Roman" w:cs="Times New Roman"/>
          <w:sz w:val="24"/>
          <w:szCs w:val="24"/>
        </w:rPr>
        <w:t xml:space="preserve">, dans son </w:t>
      </w:r>
      <w:r>
        <w:rPr>
          <w:rFonts w:ascii="Times New Roman" w:eastAsia="Times New Roman" w:hAnsi="Times New Roman" w:cs="Times New Roman"/>
          <w:b/>
          <w:bCs/>
          <w:sz w:val="24"/>
          <w:szCs w:val="24"/>
        </w:rPr>
        <w:t>guide sur l’interprétation de l’article 7</w:t>
      </w:r>
      <w:r>
        <w:rPr>
          <w:rFonts w:ascii="Times New Roman" w:eastAsia="Times New Roman" w:hAnsi="Times New Roman" w:cs="Times New Roman"/>
          <w:sz w:val="24"/>
          <w:szCs w:val="24"/>
        </w:rPr>
        <w:t xml:space="preserve">, consacre expressément, en plus de prohiber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l’application rétroactive du droit pénal au désavantage de l’accusé », </w:t>
      </w:r>
      <w:r>
        <w:rPr>
          <w:rFonts w:ascii="Times New Roman" w:eastAsia="Times New Roman" w:hAnsi="Times New Roman" w:cs="Times New Roman"/>
          <w:i/>
          <w:iCs/>
          <w:sz w:val="24"/>
          <w:szCs w:val="24"/>
        </w:rPr>
        <w:t xml:space="preserve">« le principe (…) qui commande </w:t>
      </w:r>
      <w:r>
        <w:rPr>
          <w:rFonts w:ascii="Times New Roman" w:eastAsia="Times New Roman" w:hAnsi="Times New Roman" w:cs="Times New Roman"/>
          <w:b/>
          <w:bCs/>
          <w:i/>
          <w:iCs/>
          <w:sz w:val="24"/>
          <w:szCs w:val="24"/>
        </w:rPr>
        <w:t>de ne pas appliquer la loi pénale de manière extensive au détriment de l’accusé, notamment par analogie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5"/>
      </w:r>
    </w:p>
    <w:p w14:paraId="00000012"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l’article </w:t>
      </w:r>
      <w:r>
        <w:rPr>
          <w:rFonts w:ascii="Times New Roman" w:eastAsia="Times New Roman" w:hAnsi="Times New Roman" w:cs="Times New Roman"/>
          <w:b/>
          <w:bCs/>
          <w:sz w:val="24"/>
          <w:szCs w:val="24"/>
        </w:rPr>
        <w:t>22</w:t>
      </w:r>
      <w:r>
        <w:rPr>
          <w:rFonts w:ascii="Times New Roman" w:eastAsia="Times New Roman" w:hAnsi="Times New Roman" w:cs="Times New Roman"/>
          <w:sz w:val="24"/>
          <w:szCs w:val="24"/>
        </w:rPr>
        <w:t xml:space="preserve"> du </w:t>
      </w:r>
      <w:r>
        <w:rPr>
          <w:rFonts w:ascii="Times New Roman" w:eastAsia="Times New Roman" w:hAnsi="Times New Roman" w:cs="Times New Roman"/>
          <w:b/>
          <w:bCs/>
          <w:sz w:val="24"/>
          <w:szCs w:val="24"/>
        </w:rPr>
        <w:t>Statut de Rome</w:t>
      </w:r>
      <w:r>
        <w:rPr>
          <w:rFonts w:ascii="Times New Roman" w:eastAsia="Times New Roman" w:hAnsi="Times New Roman" w:cs="Times New Roman"/>
          <w:sz w:val="24"/>
          <w:szCs w:val="24"/>
        </w:rPr>
        <w:t xml:space="preserve">, un traité international de nature pénale, intitulé </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bCs/>
          <w:sz w:val="24"/>
          <w:szCs w:val="24"/>
        </w:rPr>
        <w:t>Nullum crimen sine lege</w:t>
      </w:r>
      <w:r>
        <w:rPr>
          <w:rFonts w:ascii="Times New Roman" w:eastAsia="Times New Roman" w:hAnsi="Times New Roman" w:cs="Times New Roman"/>
          <w:sz w:val="24"/>
          <w:szCs w:val="24"/>
        </w:rPr>
        <w:t xml:space="preserve"> », pose à son </w:t>
      </w:r>
      <w:r>
        <w:rPr>
          <w:rFonts w:ascii="Times New Roman" w:eastAsia="Times New Roman" w:hAnsi="Times New Roman" w:cs="Times New Roman"/>
          <w:b/>
          <w:bCs/>
          <w:sz w:val="24"/>
          <w:szCs w:val="24"/>
        </w:rPr>
        <w:t>alinéa 2</w:t>
      </w:r>
      <w:r>
        <w:rPr>
          <w:rFonts w:ascii="Times New Roman" w:eastAsia="Times New Roman" w:hAnsi="Times New Roman" w:cs="Times New Roman"/>
          <w:sz w:val="24"/>
          <w:szCs w:val="24"/>
        </w:rPr>
        <w:t xml:space="preserve"> le principe de la légalité pénale.</w:t>
      </w:r>
      <w:r>
        <w:rPr>
          <w:rFonts w:ascii="Times New Roman" w:eastAsia="Times New Roman" w:hAnsi="Times New Roman" w:cs="Times New Roman"/>
          <w:sz w:val="24"/>
          <w:szCs w:val="24"/>
          <w:vertAlign w:val="superscript"/>
        </w:rPr>
        <w:footnoteReference w:id="6"/>
      </w:r>
    </w:p>
    <w:p w14:paraId="00000013" w14:textId="77777777" w:rsidR="00135230" w:rsidRDefault="00000000">
      <w:p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La légalité pénale est donc un principe conventionnel. </w:t>
      </w:r>
    </w:p>
    <w:p w14:paraId="00000014" w14:textId="77777777" w:rsidR="00135230" w:rsidRDefault="00135230">
      <w:pPr>
        <w:spacing w:after="200" w:line="240" w:lineRule="auto"/>
        <w:jc w:val="both"/>
        <w:rPr>
          <w:rFonts w:ascii="Times New Roman" w:eastAsia="Times New Roman" w:hAnsi="Times New Roman" w:cs="Times New Roman"/>
          <w:sz w:val="24"/>
          <w:szCs w:val="24"/>
          <w:highlight w:val="white"/>
        </w:rPr>
      </w:pPr>
    </w:p>
    <w:p w14:paraId="00000015" w14:textId="0E0E668A" w:rsidR="00135230" w:rsidRDefault="00000000">
      <w:pPr>
        <w:numPr>
          <w:ilvl w:val="1"/>
          <w:numId w:val="3"/>
        </w:numPr>
        <w:pBdr>
          <w:top w:val="nil"/>
          <w:left w:val="nil"/>
          <w:bottom w:val="nil"/>
          <w:right w:val="nil"/>
          <w:between w:val="nil"/>
        </w:pBdr>
        <w:spacing w:line="36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u w:val="single"/>
        </w:rPr>
        <w:t>La nature juridique du principe : principe général de droit</w:t>
      </w:r>
      <w:r w:rsidR="00EA79BB">
        <w:rPr>
          <w:rFonts w:ascii="Times New Roman" w:eastAsia="Times New Roman" w:hAnsi="Times New Roman" w:cs="Times New Roman"/>
          <w:b/>
          <w:bCs/>
          <w:i/>
          <w:iCs/>
          <w:color w:val="000000"/>
          <w:sz w:val="24"/>
          <w:szCs w:val="24"/>
          <w:u w:val="single"/>
        </w:rPr>
        <w:t xml:space="preserve"> et</w:t>
      </w:r>
      <w:r>
        <w:rPr>
          <w:rFonts w:ascii="Times New Roman" w:eastAsia="Times New Roman" w:hAnsi="Times New Roman" w:cs="Times New Roman"/>
          <w:b/>
          <w:bCs/>
          <w:i/>
          <w:iCs/>
          <w:color w:val="000000"/>
          <w:sz w:val="24"/>
          <w:szCs w:val="24"/>
          <w:u w:val="single"/>
        </w:rPr>
        <w:t xml:space="preserve"> coutume internationale </w:t>
      </w:r>
    </w:p>
    <w:p w14:paraId="00000016" w14:textId="77777777" w:rsidR="00135230" w:rsidRDefault="00000000">
      <w:pPr>
        <w:numPr>
          <w:ilvl w:val="2"/>
          <w:numId w:val="3"/>
        </w:numPr>
        <w:pBdr>
          <w:top w:val="nil"/>
          <w:left w:val="nil"/>
          <w:bottom w:val="nil"/>
          <w:right w:val="nil"/>
          <w:between w:val="nil"/>
        </w:pBdr>
        <w:spacing w:line="36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u w:val="single"/>
        </w:rPr>
        <w:t>La légalité pénale comme principe général de droit</w:t>
      </w:r>
    </w:p>
    <w:p w14:paraId="00000017" w14:textId="77777777" w:rsidR="00135230" w:rsidRDefault="00135230">
      <w:pPr>
        <w:pBdr>
          <w:top w:val="nil"/>
          <w:left w:val="nil"/>
          <w:bottom w:val="nil"/>
          <w:right w:val="nil"/>
          <w:between w:val="nil"/>
        </w:pBdr>
        <w:spacing w:line="360" w:lineRule="auto"/>
        <w:ind w:left="2160"/>
        <w:jc w:val="both"/>
        <w:rPr>
          <w:rFonts w:ascii="Times New Roman" w:eastAsia="Times New Roman" w:hAnsi="Times New Roman" w:cs="Times New Roman"/>
          <w:b/>
          <w:bCs/>
          <w:i/>
          <w:iCs/>
          <w:color w:val="000000"/>
          <w:sz w:val="24"/>
          <w:szCs w:val="24"/>
        </w:rPr>
      </w:pPr>
    </w:p>
    <w:p w14:paraId="00000018"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qualification d’une norme comme principe général de droit signifie qu’elle soit reconnue comme une source autonome du droit international, susceptible notamment de combler les lacunes du droit.</w:t>
      </w:r>
      <w:r>
        <w:rPr>
          <w:rFonts w:ascii="Times New Roman" w:eastAsia="Times New Roman" w:hAnsi="Times New Roman" w:cs="Times New Roman"/>
          <w:sz w:val="24"/>
          <w:szCs w:val="24"/>
          <w:vertAlign w:val="superscript"/>
        </w:rPr>
        <w:footnoteReference w:id="7"/>
      </w:r>
    </w:p>
    <w:p w14:paraId="00000019"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w:t>
      </w:r>
      <w:r>
        <w:rPr>
          <w:rFonts w:ascii="Times New Roman" w:eastAsia="Times New Roman" w:hAnsi="Times New Roman" w:cs="Times New Roman"/>
          <w:b/>
          <w:bCs/>
          <w:sz w:val="24"/>
          <w:szCs w:val="24"/>
        </w:rPr>
        <w:t>article 38(c)</w:t>
      </w:r>
      <w:r>
        <w:rPr>
          <w:rFonts w:ascii="Times New Roman" w:eastAsia="Times New Roman" w:hAnsi="Times New Roman" w:cs="Times New Roman"/>
          <w:sz w:val="24"/>
          <w:szCs w:val="24"/>
        </w:rPr>
        <w:t xml:space="preserve"> du </w:t>
      </w:r>
      <w:r>
        <w:rPr>
          <w:rFonts w:ascii="Times New Roman" w:eastAsia="Times New Roman" w:hAnsi="Times New Roman" w:cs="Times New Roman"/>
          <w:b/>
          <w:bCs/>
          <w:sz w:val="24"/>
          <w:szCs w:val="24"/>
        </w:rPr>
        <w:t>Statut de la Cour internationale de justice</w:t>
      </w:r>
      <w:r>
        <w:rPr>
          <w:rFonts w:ascii="Times New Roman" w:eastAsia="Times New Roman" w:hAnsi="Times New Roman" w:cs="Times New Roman"/>
          <w:sz w:val="24"/>
          <w:szCs w:val="24"/>
        </w:rPr>
        <w:t xml:space="preserve"> liste les principes généraux de droit au titre des instruments appliqués par la Cour :</w:t>
      </w:r>
    </w:p>
    <w:p w14:paraId="0000001A" w14:textId="77777777" w:rsidR="00135230" w:rsidRDefault="00000000">
      <w:pPr>
        <w:spacing w:after="200"/>
        <w:ind w:right="6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les principes généraux de droit reconnus par les nations civilisées</w:t>
      </w:r>
      <w:r>
        <w:rPr>
          <w:rFonts w:ascii="Times New Roman" w:eastAsia="Times New Roman" w:hAnsi="Times New Roman" w:cs="Times New Roman"/>
          <w:sz w:val="24"/>
          <w:szCs w:val="24"/>
        </w:rPr>
        <w:t xml:space="preserve"> [...] »</w:t>
      </w:r>
    </w:p>
    <w:p w14:paraId="0000001B"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niveau international, le </w:t>
      </w:r>
      <w:r>
        <w:rPr>
          <w:rFonts w:ascii="Times New Roman" w:eastAsia="Times New Roman" w:hAnsi="Times New Roman" w:cs="Times New Roman"/>
          <w:b/>
          <w:bCs/>
          <w:sz w:val="24"/>
          <w:szCs w:val="24"/>
        </w:rPr>
        <w:t>Statut de Rome</w:t>
      </w:r>
      <w:r>
        <w:rPr>
          <w:rFonts w:ascii="Times New Roman" w:eastAsia="Times New Roman" w:hAnsi="Times New Roman" w:cs="Times New Roman"/>
          <w:sz w:val="24"/>
          <w:szCs w:val="24"/>
        </w:rPr>
        <w:t xml:space="preserve"> inclut le principe de légalité au titre des « </w:t>
      </w:r>
      <w:r>
        <w:rPr>
          <w:rFonts w:ascii="Times New Roman" w:eastAsia="Times New Roman" w:hAnsi="Times New Roman" w:cs="Times New Roman"/>
          <w:i/>
          <w:iCs/>
          <w:sz w:val="24"/>
          <w:szCs w:val="24"/>
        </w:rPr>
        <w:t>principes généraux du droit pénal</w:t>
      </w:r>
      <w:r>
        <w:rPr>
          <w:rFonts w:ascii="Times New Roman" w:eastAsia="Times New Roman" w:hAnsi="Times New Roman" w:cs="Times New Roman"/>
          <w:sz w:val="24"/>
          <w:szCs w:val="24"/>
        </w:rPr>
        <w:t xml:space="preserve"> » listés à son </w:t>
      </w:r>
      <w:r>
        <w:rPr>
          <w:rFonts w:ascii="Times New Roman" w:eastAsia="Times New Roman" w:hAnsi="Times New Roman" w:cs="Times New Roman"/>
          <w:b/>
          <w:bCs/>
          <w:sz w:val="24"/>
          <w:szCs w:val="24"/>
        </w:rPr>
        <w:t>chapitre III</w:t>
      </w:r>
      <w:r>
        <w:rPr>
          <w:rFonts w:ascii="Times New Roman" w:eastAsia="Times New Roman" w:hAnsi="Times New Roman" w:cs="Times New Roman"/>
          <w:sz w:val="24"/>
          <w:szCs w:val="24"/>
        </w:rPr>
        <w:t>.</w:t>
      </w:r>
    </w:p>
    <w:p w14:paraId="0000001C"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ce qui concerne les systèmes régionaux de protection des droits humains, la </w:t>
      </w:r>
      <w:r>
        <w:rPr>
          <w:rFonts w:ascii="Times New Roman" w:eastAsia="Times New Roman" w:hAnsi="Times New Roman" w:cs="Times New Roman"/>
          <w:b/>
          <w:bCs/>
          <w:sz w:val="24"/>
          <w:szCs w:val="24"/>
        </w:rPr>
        <w:t>Cour de justice de l’Union européenne</w:t>
      </w:r>
      <w:r>
        <w:rPr>
          <w:rFonts w:ascii="Times New Roman" w:eastAsia="Times New Roman" w:hAnsi="Times New Roman" w:cs="Times New Roman"/>
          <w:sz w:val="24"/>
          <w:szCs w:val="24"/>
        </w:rPr>
        <w:t xml:space="preserve"> reconnaît le principe de légalité comme un principe général de droit aux paragraphes 38 et 39 de son arrêt </w:t>
      </w:r>
      <w:r>
        <w:rPr>
          <w:rFonts w:ascii="Times New Roman" w:eastAsia="Times New Roman" w:hAnsi="Times New Roman" w:cs="Times New Roman"/>
          <w:b/>
          <w:bCs/>
          <w:sz w:val="24"/>
          <w:szCs w:val="24"/>
        </w:rPr>
        <w:t>Degussa</w:t>
      </w:r>
      <w:r>
        <w:rPr>
          <w:rFonts w:ascii="Times New Roman" w:eastAsia="Times New Roman" w:hAnsi="Times New Roman" w:cs="Times New Roman"/>
          <w:sz w:val="24"/>
          <w:szCs w:val="24"/>
        </w:rPr>
        <w:t xml:space="preserve"> du 22 mai 2008 : </w:t>
      </w:r>
    </w:p>
    <w:p w14:paraId="0000001D" w14:textId="77777777" w:rsidR="00135230" w:rsidRDefault="00000000">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38. À cet égard, il convient de rappeler que </w:t>
      </w:r>
      <w:r>
        <w:rPr>
          <w:rFonts w:ascii="Times New Roman" w:eastAsia="Times New Roman" w:hAnsi="Times New Roman" w:cs="Times New Roman"/>
          <w:b/>
          <w:bCs/>
          <w:i/>
          <w:iCs/>
          <w:sz w:val="24"/>
          <w:szCs w:val="24"/>
          <w:u w:val="single"/>
        </w:rPr>
        <w:t>le principe de légalité des peines, qui fait partie des principes généraux du droit communautaire se trouvant à la base des traditions constitutionnelles communes aux États membres</w:t>
      </w:r>
      <w:r>
        <w:rPr>
          <w:rFonts w:ascii="Times New Roman" w:eastAsia="Times New Roman" w:hAnsi="Times New Roman" w:cs="Times New Roman"/>
          <w:i/>
          <w:iCs/>
          <w:sz w:val="24"/>
          <w:szCs w:val="24"/>
        </w:rPr>
        <w:t>, a également été consacré par différents traités internationaux, et notamment à l’article 7 de la CEDH [...]</w:t>
      </w:r>
    </w:p>
    <w:p w14:paraId="0000001E" w14:textId="77777777" w:rsidR="00135230" w:rsidRDefault="00000000">
      <w:pPr>
        <w:spacing w:after="200" w:line="36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39. Ce principe exige que la </w:t>
      </w:r>
      <w:r>
        <w:rPr>
          <w:rFonts w:ascii="Times New Roman" w:eastAsia="Times New Roman" w:hAnsi="Times New Roman" w:cs="Times New Roman"/>
          <w:b/>
          <w:bCs/>
          <w:i/>
          <w:iCs/>
          <w:sz w:val="24"/>
          <w:szCs w:val="24"/>
        </w:rPr>
        <w:t>loi définisse clairement les infractions et les peines qui les répriment</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8"/>
      </w:r>
    </w:p>
    <w:p w14:paraId="0000001F" w14:textId="77777777" w:rsidR="00135230" w:rsidRDefault="00000000">
      <w:pPr>
        <w:spacing w:after="20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Dans son arrêt M.A.S et M.B, la </w:t>
      </w:r>
      <w:r>
        <w:rPr>
          <w:rFonts w:ascii="Times New Roman" w:eastAsia="Times New Roman" w:hAnsi="Times New Roman" w:cs="Times New Roman"/>
          <w:b/>
          <w:bCs/>
          <w:sz w:val="24"/>
          <w:szCs w:val="24"/>
        </w:rPr>
        <w:t>Cour de justice de l’Union Européenne</w:t>
      </w:r>
      <w:r>
        <w:rPr>
          <w:rFonts w:ascii="Times New Roman" w:eastAsia="Times New Roman" w:hAnsi="Times New Roman" w:cs="Times New Roman"/>
          <w:sz w:val="24"/>
          <w:szCs w:val="24"/>
        </w:rPr>
        <w:t xml:space="preserve"> affirme de nouveau que les principes de </w:t>
      </w:r>
      <w:r>
        <w:rPr>
          <w:rFonts w:ascii="Times New Roman" w:eastAsia="Times New Roman" w:hAnsi="Times New Roman" w:cs="Times New Roman"/>
          <w:i/>
          <w:iCs/>
          <w:sz w:val="24"/>
          <w:szCs w:val="24"/>
        </w:rPr>
        <w:t>lex stricta</w:t>
      </w:r>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lex certa</w:t>
      </w:r>
      <w:r>
        <w:rPr>
          <w:rFonts w:ascii="Times New Roman" w:eastAsia="Times New Roman" w:hAnsi="Times New Roman" w:cs="Times New Roman"/>
          <w:sz w:val="24"/>
          <w:szCs w:val="24"/>
        </w:rPr>
        <w:t xml:space="preserve"> font partie intégrante des principes généraux de droit de l’Union :</w:t>
      </w:r>
      <w:r>
        <w:rPr>
          <w:rFonts w:ascii="Times New Roman" w:eastAsia="Times New Roman" w:hAnsi="Times New Roman" w:cs="Times New Roman"/>
          <w:b/>
          <w:bCs/>
          <w:sz w:val="24"/>
          <w:szCs w:val="24"/>
        </w:rPr>
        <w:t xml:space="preserve"> </w:t>
      </w:r>
    </w:p>
    <w:p w14:paraId="00000020"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19. La Cour n’aurait cependant pas examiné l’autre volet du principe de légalité des délits et des peines, à savoir l’exigence selon laquelle la réglementation relative au régime de sanction </w:t>
      </w:r>
      <w:r>
        <w:rPr>
          <w:rFonts w:ascii="Times New Roman" w:eastAsia="Times New Roman" w:hAnsi="Times New Roman" w:cs="Times New Roman"/>
          <w:b/>
          <w:bCs/>
          <w:i/>
          <w:iCs/>
          <w:sz w:val="24"/>
          <w:szCs w:val="24"/>
        </w:rPr>
        <w:t>doit être suffisamment précise</w:t>
      </w:r>
      <w:r>
        <w:rPr>
          <w:rFonts w:ascii="Times New Roman" w:eastAsia="Times New Roman" w:hAnsi="Times New Roman" w:cs="Times New Roman"/>
          <w:i/>
          <w:iCs/>
          <w:sz w:val="24"/>
          <w:szCs w:val="24"/>
        </w:rPr>
        <w:t>. Il s’agirait pourtant d’une exigence qui fait partie des traditions constitutionnelles communes aux États membres, présente également dans le système de protection de la CEDH, et qui, partant,</w:t>
      </w:r>
      <w:r>
        <w:rPr>
          <w:rFonts w:ascii="Times New Roman" w:eastAsia="Times New Roman" w:hAnsi="Times New Roman" w:cs="Times New Roman"/>
          <w:b/>
          <w:bCs/>
          <w:i/>
          <w:iCs/>
          <w:sz w:val="24"/>
          <w:szCs w:val="24"/>
        </w:rPr>
        <w:t xml:space="preserve"> correspond à un </w:t>
      </w:r>
      <w:r>
        <w:rPr>
          <w:rFonts w:ascii="Times New Roman" w:eastAsia="Times New Roman" w:hAnsi="Times New Roman" w:cs="Times New Roman"/>
          <w:b/>
          <w:bCs/>
          <w:i/>
          <w:iCs/>
          <w:sz w:val="24"/>
          <w:szCs w:val="24"/>
          <w:u w:val="single"/>
        </w:rPr>
        <w:t>principe général du droit de l’Union.</w:t>
      </w:r>
      <w:r>
        <w:rPr>
          <w:rFonts w:ascii="Times New Roman" w:eastAsia="Times New Roman" w:hAnsi="Times New Roman" w:cs="Times New Roman"/>
          <w:i/>
          <w:iCs/>
          <w:sz w:val="24"/>
          <w:szCs w:val="24"/>
        </w:rPr>
        <w:t>(…)</w:t>
      </w:r>
    </w:p>
    <w:p w14:paraId="00000021" w14:textId="77777777" w:rsidR="00135230" w:rsidRDefault="00000000">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55. S’agissant des exigences découlant du principe de légalité des délits et des peines, il convient de relever, premièrement, que la Cour européenne des droits de l’homme a jugé, à propos de l’article 7, paragraphe 1, de la CEDH, que, en vertu de ce principe,</w:t>
      </w:r>
      <w:r>
        <w:rPr>
          <w:rFonts w:ascii="Times New Roman" w:eastAsia="Times New Roman" w:hAnsi="Times New Roman" w:cs="Times New Roman"/>
          <w:b/>
          <w:bCs/>
          <w:i/>
          <w:iCs/>
          <w:sz w:val="24"/>
          <w:szCs w:val="24"/>
        </w:rPr>
        <w:t xml:space="preserve"> les dispositions pénales doivent respecter certaines exigences d’accessibilité et de prévisibilité en ce qui concerne tant la définition de l’infraction que la détermination de la peine </w:t>
      </w:r>
      <w:r>
        <w:rPr>
          <w:rFonts w:ascii="Times New Roman" w:eastAsia="Times New Roman" w:hAnsi="Times New Roman" w:cs="Times New Roman"/>
          <w:i/>
          <w:iCs/>
          <w:sz w:val="24"/>
          <w:szCs w:val="24"/>
        </w:rPr>
        <w:t>(…).</w:t>
      </w:r>
    </w:p>
    <w:p w14:paraId="00000022"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56. Deuxièmement, il convient de souligner que </w:t>
      </w:r>
      <w:r>
        <w:rPr>
          <w:rFonts w:ascii="Times New Roman" w:eastAsia="Times New Roman" w:hAnsi="Times New Roman" w:cs="Times New Roman"/>
          <w:b/>
          <w:bCs/>
          <w:i/>
          <w:iCs/>
          <w:sz w:val="24"/>
          <w:szCs w:val="24"/>
        </w:rPr>
        <w:t>l’exigence de précision de la loi applicable, qui est inhérente audit principe, implique que la loi définisse de manière claire les infractions et les peines qui les répriment</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 xml:space="preserve">Cette condition se trouve remplie lorsque le justiciable peut savoir, à partir du libellé de la disposition pertinente et au besoin à l’aide de l’interprétation </w:t>
      </w:r>
      <w:r>
        <w:rPr>
          <w:rFonts w:ascii="Times New Roman" w:eastAsia="Times New Roman" w:hAnsi="Times New Roman" w:cs="Times New Roman"/>
          <w:b/>
          <w:bCs/>
          <w:i/>
          <w:iCs/>
          <w:sz w:val="24"/>
          <w:szCs w:val="24"/>
        </w:rPr>
        <w:lastRenderedPageBreak/>
        <w:t>qui en est donnée par les tribunaux, quels actes et omissions engagent sa responsabilité pénale.</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9"/>
      </w:r>
    </w:p>
    <w:p w14:paraId="00000023"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décision reprend mot pour mot l’arrêt de la </w:t>
      </w:r>
      <w:r>
        <w:rPr>
          <w:rFonts w:ascii="Times New Roman" w:eastAsia="Times New Roman" w:hAnsi="Times New Roman" w:cs="Times New Roman"/>
          <w:b/>
          <w:bCs/>
          <w:sz w:val="24"/>
          <w:szCs w:val="24"/>
        </w:rPr>
        <w:t>Cour Européenne des Droits de l’Homme</w:t>
      </w:r>
      <w:r>
        <w:rPr>
          <w:rFonts w:ascii="Times New Roman" w:eastAsia="Times New Roman" w:hAnsi="Times New Roman" w:cs="Times New Roman"/>
          <w:sz w:val="24"/>
          <w:szCs w:val="24"/>
        </w:rPr>
        <w:t xml:space="preserve"> dans son jugement de l’affaire Kokkinakis c. Grèce : </w:t>
      </w:r>
    </w:p>
    <w:p w14:paraId="00000024" w14:textId="4C140044" w:rsidR="00135230" w:rsidRDefault="00000000">
      <w:pPr>
        <w:spacing w:after="20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52. La Cour souligne que l’article 7 par. 1 (art. 7-1) de la Convention ne se borne pas à prohiber l’application rétroactive du droit pénal au détriment de l’accusé. Il consacre aussi, de manière plus générale, le principe de la légalité des délits et des peines (nullum crimen, nulla poena sine lege) et </w:t>
      </w:r>
      <w:r>
        <w:rPr>
          <w:rFonts w:ascii="Times New Roman" w:eastAsia="Times New Roman" w:hAnsi="Times New Roman" w:cs="Times New Roman"/>
          <w:b/>
          <w:bCs/>
          <w:i/>
          <w:iCs/>
          <w:sz w:val="24"/>
          <w:szCs w:val="24"/>
        </w:rPr>
        <w:t>celui qui commande de ne pas appliquer la loi pénale de manière extensive au détriment de l’accusé, notamment par analogie; il en résulte qu’une infraction doit être clairement définie par la loi</w:t>
      </w:r>
      <w:r>
        <w:rPr>
          <w:rFonts w:ascii="Times New Roman" w:eastAsia="Times New Roman" w:hAnsi="Times New Roman" w:cs="Times New Roman"/>
          <w:i/>
          <w:iCs/>
          <w:sz w:val="24"/>
          <w:szCs w:val="24"/>
        </w:rPr>
        <w:t xml:space="preserve">. Cette condition se trouve remplie </w:t>
      </w:r>
      <w:r>
        <w:rPr>
          <w:rFonts w:ascii="Times New Roman" w:eastAsia="Times New Roman" w:hAnsi="Times New Roman" w:cs="Times New Roman"/>
          <w:b/>
          <w:bCs/>
          <w:i/>
          <w:iCs/>
          <w:sz w:val="24"/>
          <w:szCs w:val="24"/>
        </w:rPr>
        <w:t>lorsque l’individu peut savoir, à partir du libellé de la clause pertinente et, au besoin, à l’aide de son interprétation par les tribunaux, quels actes et omissions engagent sa responsabilité.</w:t>
      </w:r>
      <w:r>
        <w:rPr>
          <w:rFonts w:ascii="Times New Roman" w:eastAsia="Times New Roman" w:hAnsi="Times New Roman" w:cs="Times New Roman"/>
          <w:i/>
          <w:iCs/>
          <w:sz w:val="24"/>
          <w:szCs w:val="24"/>
        </w:rPr>
        <w:t> </w:t>
      </w:r>
      <w:r>
        <w:rPr>
          <w:rFonts w:ascii="Times New Roman" w:eastAsia="Times New Roman" w:hAnsi="Times New Roman" w:cs="Times New Roman"/>
          <w:sz w:val="24"/>
          <w:szCs w:val="24"/>
        </w:rPr>
        <w:t>»</w:t>
      </w:r>
      <w:r w:rsidR="00824F0F">
        <w:rPr>
          <w:rStyle w:val="Appelnotedebasdep"/>
          <w:rFonts w:ascii="Times New Roman" w:eastAsia="Times New Roman" w:hAnsi="Times New Roman" w:cs="Times New Roman"/>
          <w:sz w:val="24"/>
          <w:szCs w:val="24"/>
        </w:rPr>
        <w:footnoteReference w:id="10"/>
      </w:r>
    </w:p>
    <w:p w14:paraId="00000025"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plus d’être un principe conventionnel, la légalité pénale est également un principe général de droit.</w:t>
      </w:r>
    </w:p>
    <w:p w14:paraId="00000026" w14:textId="77777777" w:rsidR="00135230" w:rsidRDefault="00000000">
      <w:pPr>
        <w:numPr>
          <w:ilvl w:val="2"/>
          <w:numId w:val="3"/>
        </w:numPr>
        <w:pBdr>
          <w:top w:val="nil"/>
          <w:left w:val="nil"/>
          <w:bottom w:val="nil"/>
          <w:right w:val="nil"/>
          <w:between w:val="nil"/>
        </w:pBdr>
        <w:spacing w:after="200"/>
        <w:jc w:val="both"/>
        <w:rPr>
          <w:color w:val="000000"/>
          <w:sz w:val="24"/>
          <w:szCs w:val="24"/>
          <w:u w:val="single"/>
        </w:rPr>
      </w:pPr>
      <w:r>
        <w:rPr>
          <w:rFonts w:ascii="Times New Roman" w:eastAsia="Times New Roman" w:hAnsi="Times New Roman" w:cs="Times New Roman"/>
          <w:i/>
          <w:iCs/>
          <w:color w:val="000000"/>
          <w:sz w:val="24"/>
          <w:szCs w:val="24"/>
          <w:u w:val="single"/>
        </w:rPr>
        <w:t>La légalité pénale comme norme de droit international coutumier</w:t>
      </w:r>
    </w:p>
    <w:p w14:paraId="00000027" w14:textId="77777777" w:rsidR="00135230"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qualification d’une norme comme coutume internationale signifie qu’elle peut lier les États indépendamment de sa reprise dans un traité, sous réserve des règles propres à la coutume internationale et de son statut dans l’ordre juridique interne concerné.</w:t>
      </w:r>
    </w:p>
    <w:p w14:paraId="00000028" w14:textId="77777777" w:rsidR="00135230" w:rsidRDefault="00135230">
      <w:pPr>
        <w:widowControl w:val="0"/>
        <w:spacing w:line="240" w:lineRule="auto"/>
        <w:jc w:val="both"/>
        <w:rPr>
          <w:rFonts w:ascii="Times New Roman" w:eastAsia="Times New Roman" w:hAnsi="Times New Roman" w:cs="Times New Roman"/>
          <w:sz w:val="24"/>
          <w:szCs w:val="24"/>
        </w:rPr>
      </w:pPr>
    </w:p>
    <w:p w14:paraId="00000029"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w:t>
      </w:r>
      <w:r>
        <w:rPr>
          <w:rFonts w:ascii="Times New Roman" w:eastAsia="Times New Roman" w:hAnsi="Times New Roman" w:cs="Times New Roman"/>
          <w:b/>
          <w:bCs/>
          <w:sz w:val="24"/>
          <w:szCs w:val="24"/>
        </w:rPr>
        <w:t>article 38</w:t>
      </w:r>
      <w:r>
        <w:rPr>
          <w:rFonts w:ascii="Times New Roman" w:eastAsia="Times New Roman" w:hAnsi="Times New Roman" w:cs="Times New Roman"/>
          <w:sz w:val="24"/>
          <w:szCs w:val="24"/>
        </w:rPr>
        <w:t xml:space="preserve"> du </w:t>
      </w:r>
      <w:r>
        <w:rPr>
          <w:rFonts w:ascii="Times New Roman" w:eastAsia="Times New Roman" w:hAnsi="Times New Roman" w:cs="Times New Roman"/>
          <w:b/>
          <w:bCs/>
          <w:sz w:val="24"/>
          <w:szCs w:val="24"/>
        </w:rPr>
        <w:t>Statut de la Cour internationale de justice</w:t>
      </w:r>
      <w:r>
        <w:rPr>
          <w:rFonts w:ascii="Times New Roman" w:eastAsia="Times New Roman" w:hAnsi="Times New Roman" w:cs="Times New Roman"/>
          <w:sz w:val="24"/>
          <w:szCs w:val="24"/>
        </w:rPr>
        <w:t xml:space="preserve"> définit la coutume comme : </w:t>
      </w:r>
    </w:p>
    <w:p w14:paraId="0000002A"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Preuve d'une pratique générale acceptée comme étant le droit</w:t>
      </w:r>
      <w:r>
        <w:rPr>
          <w:rFonts w:ascii="Times New Roman" w:eastAsia="Times New Roman" w:hAnsi="Times New Roman" w:cs="Times New Roman"/>
          <w:sz w:val="24"/>
          <w:szCs w:val="24"/>
        </w:rPr>
        <w:t xml:space="preserve"> ».</w:t>
      </w:r>
    </w:p>
    <w:p w14:paraId="0000002B"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son </w:t>
      </w:r>
      <w:r>
        <w:rPr>
          <w:rFonts w:ascii="Times New Roman" w:eastAsia="Times New Roman" w:hAnsi="Times New Roman" w:cs="Times New Roman"/>
          <w:b/>
          <w:bCs/>
          <w:sz w:val="24"/>
          <w:szCs w:val="24"/>
        </w:rPr>
        <w:t>Projets de conclusions sur la détermination du droit international et commentaires y relatif</w:t>
      </w:r>
      <w:r>
        <w:rPr>
          <w:rFonts w:ascii="Times New Roman" w:eastAsia="Times New Roman" w:hAnsi="Times New Roman" w:cs="Times New Roman"/>
          <w:sz w:val="24"/>
          <w:szCs w:val="24"/>
        </w:rPr>
        <w:t xml:space="preserve">, la </w:t>
      </w:r>
      <w:r>
        <w:rPr>
          <w:rFonts w:ascii="Times New Roman" w:eastAsia="Times New Roman" w:hAnsi="Times New Roman" w:cs="Times New Roman"/>
          <w:b/>
          <w:bCs/>
          <w:sz w:val="24"/>
          <w:szCs w:val="24"/>
        </w:rPr>
        <w:t>Commission du droit international</w:t>
      </w:r>
      <w:r>
        <w:rPr>
          <w:rFonts w:ascii="Times New Roman" w:eastAsia="Times New Roman" w:hAnsi="Times New Roman" w:cs="Times New Roman"/>
          <w:sz w:val="24"/>
          <w:szCs w:val="24"/>
        </w:rPr>
        <w:t xml:space="preserve"> dénote que deux éléments constitutifs doivent être présents pour qu’une règle de droit constitue une coutume au sens du droit international : </w:t>
      </w:r>
    </w:p>
    <w:p w14:paraId="7C3BF00C" w14:textId="77777777" w:rsidR="0040107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Pour déterminer l’existence et le contenu d’une règle de droit international coutumier, il est nécessaire de rechercher s’il existe</w:t>
      </w:r>
      <w:r>
        <w:rPr>
          <w:rFonts w:ascii="Times New Roman" w:eastAsia="Times New Roman" w:hAnsi="Times New Roman" w:cs="Times New Roman"/>
          <w:sz w:val="24"/>
          <w:szCs w:val="24"/>
        </w:rPr>
        <w:t xml:space="preserve"> une</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b/>
          <w:bCs/>
          <w:i/>
          <w:iCs/>
          <w:sz w:val="24"/>
          <w:szCs w:val="24"/>
          <w:u w:val="single"/>
        </w:rPr>
        <w:t>pratique générale</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i/>
          <w:iCs/>
          <w:sz w:val="24"/>
          <w:szCs w:val="24"/>
        </w:rPr>
        <w:t xml:space="preserve">acceptée </w:t>
      </w:r>
      <w:r>
        <w:rPr>
          <w:rFonts w:ascii="Times New Roman" w:eastAsia="Times New Roman" w:hAnsi="Times New Roman" w:cs="Times New Roman"/>
          <w:b/>
          <w:bCs/>
          <w:i/>
          <w:iCs/>
          <w:sz w:val="24"/>
          <w:szCs w:val="24"/>
          <w:u w:val="single"/>
        </w:rPr>
        <w:t>comme étant le droit</w:t>
      </w:r>
      <w:r>
        <w:rPr>
          <w:rFonts w:ascii="Times New Roman" w:eastAsia="Times New Roman" w:hAnsi="Times New Roman" w:cs="Times New Roman"/>
          <w:i/>
          <w:iCs/>
          <w:sz w:val="24"/>
          <w:szCs w:val="24"/>
        </w:rPr>
        <w:t xml:space="preserve"> (opinio juris).</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1"/>
      </w:r>
    </w:p>
    <w:p w14:paraId="0000002D" w14:textId="1D9F1D83" w:rsidR="00135230" w:rsidRPr="0040107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Ces critères sont par ailleurs ceux adoptés par la </w:t>
      </w:r>
      <w:r>
        <w:rPr>
          <w:rFonts w:ascii="Times New Roman" w:eastAsia="Times New Roman" w:hAnsi="Times New Roman" w:cs="Times New Roman"/>
          <w:b/>
          <w:bCs/>
          <w:sz w:val="24"/>
          <w:szCs w:val="24"/>
        </w:rPr>
        <w:t>Cour internationale de justice</w:t>
      </w:r>
      <w:r>
        <w:rPr>
          <w:rFonts w:ascii="Times New Roman" w:eastAsia="Times New Roman" w:hAnsi="Times New Roman" w:cs="Times New Roman"/>
          <w:sz w:val="24"/>
          <w:szCs w:val="24"/>
        </w:rPr>
        <w:t xml:space="preserve">, comme il est visible notamment dans ses arrêts </w:t>
      </w:r>
      <w:r>
        <w:rPr>
          <w:rFonts w:ascii="Times New Roman" w:eastAsia="Times New Roman" w:hAnsi="Times New Roman" w:cs="Times New Roman"/>
          <w:b/>
          <w:bCs/>
          <w:sz w:val="24"/>
          <w:szCs w:val="24"/>
        </w:rPr>
        <w:t>Immunités juridictionnelles de l’</w:t>
      </w:r>
      <w:r>
        <w:rPr>
          <w:rFonts w:ascii="Times New Roman" w:eastAsia="Times New Roman" w:hAnsi="Times New Roman" w:cs="Times New Roman"/>
          <w:b/>
          <w:bCs/>
          <w:color w:val="1F1F1F"/>
          <w:sz w:val="24"/>
          <w:szCs w:val="24"/>
          <w:highlight w:val="white"/>
        </w:rPr>
        <w:t>État</w:t>
      </w:r>
      <w:r>
        <w:rPr>
          <w:rFonts w:ascii="Times New Roman" w:eastAsia="Times New Roman" w:hAnsi="Times New Roman" w:cs="Times New Roman"/>
          <w:color w:val="1F1F1F"/>
          <w:sz w:val="24"/>
          <w:szCs w:val="24"/>
          <w:highlight w:val="white"/>
          <w:vertAlign w:val="superscript"/>
        </w:rPr>
        <w:footnoteReference w:id="12"/>
      </w:r>
      <w:r>
        <w:rPr>
          <w:rFonts w:ascii="Times New Roman" w:eastAsia="Times New Roman" w:hAnsi="Times New Roman" w:cs="Times New Roman"/>
          <w:color w:val="1F1F1F"/>
          <w:sz w:val="24"/>
          <w:szCs w:val="24"/>
          <w:highlight w:val="white"/>
        </w:rPr>
        <w:t xml:space="preserve"> ou </w:t>
      </w:r>
      <w:r>
        <w:rPr>
          <w:rFonts w:ascii="Times New Roman" w:eastAsia="Times New Roman" w:hAnsi="Times New Roman" w:cs="Times New Roman"/>
          <w:b/>
          <w:bCs/>
          <w:color w:val="1F1F1F"/>
          <w:sz w:val="24"/>
          <w:szCs w:val="24"/>
          <w:highlight w:val="white"/>
        </w:rPr>
        <w:t>Plateau continental</w:t>
      </w:r>
      <w:r>
        <w:rPr>
          <w:rFonts w:ascii="Times New Roman" w:eastAsia="Times New Roman" w:hAnsi="Times New Roman" w:cs="Times New Roman"/>
          <w:color w:val="1F1F1F"/>
          <w:sz w:val="24"/>
          <w:szCs w:val="24"/>
          <w:highlight w:val="white"/>
        </w:rPr>
        <w:t>.</w:t>
      </w:r>
      <w:r>
        <w:rPr>
          <w:rFonts w:ascii="Times New Roman" w:eastAsia="Times New Roman" w:hAnsi="Times New Roman" w:cs="Times New Roman"/>
          <w:color w:val="1F1F1F"/>
          <w:sz w:val="24"/>
          <w:szCs w:val="24"/>
          <w:highlight w:val="white"/>
          <w:vertAlign w:val="superscript"/>
        </w:rPr>
        <w:footnoteReference w:id="13"/>
      </w:r>
    </w:p>
    <w:p w14:paraId="0000002E" w14:textId="77777777" w:rsidR="00135230" w:rsidRDefault="00000000">
      <w:pPr>
        <w:spacing w:after="200"/>
        <w:jc w:val="both"/>
        <w:rPr>
          <w:rFonts w:ascii="Times New Roman" w:eastAsia="Times New Roman" w:hAnsi="Times New Roman" w:cs="Times New Roman"/>
          <w:color w:val="1F1F1F"/>
          <w:sz w:val="24"/>
          <w:szCs w:val="24"/>
        </w:rPr>
      </w:pPr>
      <w:r>
        <w:rPr>
          <w:rFonts w:ascii="Times New Roman" w:eastAsia="Times New Roman" w:hAnsi="Times New Roman" w:cs="Times New Roman"/>
          <w:color w:val="1F1F1F"/>
          <w:sz w:val="24"/>
          <w:szCs w:val="24"/>
        </w:rPr>
        <w:t xml:space="preserve">En ce qui concerne le principe de légalité, il est reconnu comme une coutume internationale en plus d’être un principe général de droit. C’est ce qu’il ressort du document intitulé </w:t>
      </w:r>
      <w:r>
        <w:rPr>
          <w:rFonts w:ascii="Times New Roman" w:eastAsia="Times New Roman" w:hAnsi="Times New Roman" w:cs="Times New Roman"/>
          <w:b/>
          <w:bCs/>
          <w:color w:val="1F1F1F"/>
          <w:sz w:val="24"/>
          <w:szCs w:val="24"/>
        </w:rPr>
        <w:t>Droit international humanitaire coutumier : Volume 1 : Règles</w:t>
      </w:r>
      <w:r>
        <w:rPr>
          <w:rFonts w:ascii="Times New Roman" w:eastAsia="Times New Roman" w:hAnsi="Times New Roman" w:cs="Times New Roman"/>
          <w:color w:val="1F1F1F"/>
          <w:sz w:val="24"/>
          <w:szCs w:val="24"/>
        </w:rPr>
        <w:t xml:space="preserve">, publié par le Comité international de la Croix Rouge en 2005 : </w:t>
      </w:r>
    </w:p>
    <w:p w14:paraId="0000002F" w14:textId="77777777" w:rsidR="00135230" w:rsidRDefault="00000000">
      <w:pPr>
        <w:spacing w:after="200"/>
        <w:jc w:val="both"/>
        <w:rPr>
          <w:rFonts w:ascii="Times New Roman" w:eastAsia="Times New Roman" w:hAnsi="Times New Roman" w:cs="Times New Roman"/>
          <w:i/>
          <w:iCs/>
          <w:color w:val="1F1F1F"/>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color w:val="1F1F1F"/>
          <w:sz w:val="24"/>
          <w:szCs w:val="24"/>
        </w:rPr>
        <w:t>Règle 101. – Nul ne peut être accusé ou condamné pour des actions ou omissions qui ne constituaient pas un acte délictueux d’après le droit national ou international au moment où elles ont été commises. De même, il ne sera infligé aucune peine plus forte que celle qui était applicable au moment où l’infraction a été commise. [...]</w:t>
      </w:r>
    </w:p>
    <w:p w14:paraId="00000030" w14:textId="18C07F31"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i/>
          <w:iCs/>
          <w:color w:val="1F1F1F"/>
          <w:sz w:val="24"/>
          <w:szCs w:val="24"/>
        </w:rPr>
        <w:t>Selon la pratique des États, cette règle constitue une norme de droit international coutumier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4"/>
      </w:r>
    </w:p>
    <w:p w14:paraId="00000031" w14:textId="497414CD"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référence au droit international humanitaire est mobilisée ici comme indice de reconnaissance coutumière du principe, dans son champ d’application propre</w:t>
      </w:r>
      <w:r w:rsidR="003E3283">
        <w:rPr>
          <w:rFonts w:ascii="Times New Roman" w:eastAsia="Times New Roman" w:hAnsi="Times New Roman" w:cs="Times New Roman"/>
          <w:sz w:val="24"/>
          <w:szCs w:val="24"/>
        </w:rPr>
        <w:t xml:space="preserve"> (droit des conflits armés)</w:t>
      </w:r>
      <w:r w:rsidR="00A939F2">
        <w:rPr>
          <w:rFonts w:ascii="Times New Roman" w:eastAsia="Times New Roman" w:hAnsi="Times New Roman" w:cs="Times New Roman"/>
          <w:sz w:val="24"/>
          <w:szCs w:val="24"/>
        </w:rPr>
        <w:t>.</w:t>
      </w:r>
    </w:p>
    <w:p w14:paraId="00000032"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doctrine penche également vers la reconnaissance du principe de légalité comme coutume, notamment le principe de </w:t>
      </w:r>
      <w:r>
        <w:rPr>
          <w:rFonts w:ascii="Times New Roman" w:eastAsia="Times New Roman" w:hAnsi="Times New Roman" w:cs="Times New Roman"/>
          <w:i/>
          <w:iCs/>
          <w:sz w:val="24"/>
          <w:szCs w:val="24"/>
        </w:rPr>
        <w:t>lex stricta</w:t>
      </w:r>
      <w:r>
        <w:rPr>
          <w:rFonts w:ascii="Times New Roman" w:eastAsia="Times New Roman" w:hAnsi="Times New Roman" w:cs="Times New Roman"/>
          <w:sz w:val="24"/>
          <w:szCs w:val="24"/>
        </w:rPr>
        <w:t xml:space="preserve"> avec l’interdiction de l’emploi de l’analogie. Dans la pratique, cette interdiction concerne l’impossibilité d’étendre le champ de la définition d’une infraction à des comportements non couverts par une loi pénale.</w:t>
      </w:r>
      <w:r>
        <w:rPr>
          <w:rFonts w:ascii="Times New Roman" w:eastAsia="Times New Roman" w:hAnsi="Times New Roman" w:cs="Times New Roman"/>
          <w:sz w:val="24"/>
          <w:szCs w:val="24"/>
          <w:vertAlign w:val="superscript"/>
        </w:rPr>
        <w:footnoteReference w:id="15"/>
      </w:r>
    </w:p>
    <w:p w14:paraId="00000033" w14:textId="77777777" w:rsidR="00135230" w:rsidRDefault="00000000">
      <w:pPr>
        <w:spacing w:after="20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Concernant la nature et la force contraignante du principe de légalité pénale, celui-ci a donc une nature conventionnelle, coutumière et constitue un principe général de droit. C’est un pilier juridique fondamental dans la vaste majorité des systèmes de droit nationaux et un principe reconnu à l’échelle internationale également.</w:t>
      </w:r>
    </w:p>
    <w:p w14:paraId="797ABB21" w14:textId="77777777" w:rsidR="00401070" w:rsidRDefault="00401070">
      <w:pPr>
        <w:spacing w:after="200" w:line="240" w:lineRule="auto"/>
        <w:jc w:val="both"/>
        <w:rPr>
          <w:rFonts w:ascii="Times New Roman" w:eastAsia="Times New Roman" w:hAnsi="Times New Roman" w:cs="Times New Roman"/>
          <w:sz w:val="24"/>
          <w:szCs w:val="24"/>
          <w:highlight w:val="white"/>
        </w:rPr>
      </w:pPr>
    </w:p>
    <w:p w14:paraId="0000003F" w14:textId="77777777" w:rsidR="00135230" w:rsidRDefault="00135230">
      <w:pPr>
        <w:spacing w:after="200" w:line="240" w:lineRule="auto"/>
        <w:jc w:val="both"/>
        <w:rPr>
          <w:rFonts w:ascii="Times New Roman" w:eastAsia="Times New Roman" w:hAnsi="Times New Roman" w:cs="Times New Roman"/>
          <w:sz w:val="24"/>
          <w:szCs w:val="24"/>
          <w:highlight w:val="white"/>
        </w:rPr>
      </w:pPr>
    </w:p>
    <w:p w14:paraId="00000040" w14:textId="77777777" w:rsidR="00135230" w:rsidRDefault="00000000">
      <w:pPr>
        <w:numPr>
          <w:ilvl w:val="0"/>
          <w:numId w:val="3"/>
        </w:num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u w:val="single"/>
        </w:rPr>
        <w:t>lex certa : les lois pénales doivent définir clairement les comportements interdits</w:t>
      </w:r>
    </w:p>
    <w:p w14:paraId="6420FF80" w14:textId="77777777" w:rsidR="00FD41E1" w:rsidRDefault="00FD41E1">
      <w:pPr>
        <w:spacing w:after="200"/>
        <w:jc w:val="both"/>
        <w:rPr>
          <w:rFonts w:ascii="Times New Roman" w:eastAsia="Times New Roman" w:hAnsi="Times New Roman" w:cs="Times New Roman"/>
          <w:b/>
          <w:bCs/>
          <w:i/>
          <w:iCs/>
          <w:sz w:val="24"/>
          <w:szCs w:val="24"/>
          <w:u w:val="single"/>
        </w:rPr>
      </w:pPr>
    </w:p>
    <w:p w14:paraId="00000042" w14:textId="22A30C71" w:rsidR="00135230" w:rsidRDefault="00000000">
      <w:pPr>
        <w:spacing w:after="200"/>
        <w:jc w:val="both"/>
        <w:rPr>
          <w:rFonts w:ascii="Calibri" w:eastAsia="Calibri" w:hAnsi="Calibri" w:cs="Calibri"/>
          <w:b/>
          <w:bCs/>
          <w:color w:val="FF0000"/>
        </w:rPr>
      </w:pPr>
      <w:r>
        <w:rPr>
          <w:rFonts w:ascii="Times New Roman" w:eastAsia="Times New Roman" w:hAnsi="Times New Roman" w:cs="Times New Roman"/>
          <w:sz w:val="24"/>
          <w:szCs w:val="24"/>
        </w:rPr>
        <w:t xml:space="preserve">La pénalisation de l’homosexualité peut prendre, dans un certain nombre d’États, la forme d’une sanction pénale fondée sur une interprétation extensive et discriminatoire d’une disposition aux termes imprécis. Parmi ces termes, on retrouve, pour désigner les actes </w:t>
      </w:r>
      <w:r>
        <w:rPr>
          <w:rFonts w:ascii="Times New Roman" w:eastAsia="Times New Roman" w:hAnsi="Times New Roman" w:cs="Times New Roman"/>
          <w:sz w:val="24"/>
          <w:szCs w:val="24"/>
        </w:rPr>
        <w:lastRenderedPageBreak/>
        <w:t>incriminés, les termes :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contre l’ordre de la nature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impudiques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d’indécence grave »</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déviants »</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de débauche »</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ou encore «</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outrage aux bonnes moeurs »</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Dans un tel contexte, les composantes du principe de légalité les plus pertinentes sont les exigences </w:t>
      </w:r>
      <w:r>
        <w:rPr>
          <w:rFonts w:ascii="Times New Roman" w:eastAsia="Times New Roman" w:hAnsi="Times New Roman" w:cs="Times New Roman"/>
          <w:i/>
          <w:iCs/>
          <w:sz w:val="24"/>
          <w:szCs w:val="24"/>
        </w:rPr>
        <w:t xml:space="preserve">de lex certa </w:t>
      </w:r>
      <w:r>
        <w:rPr>
          <w:rFonts w:ascii="Times New Roman" w:eastAsia="Times New Roman" w:hAnsi="Times New Roman" w:cs="Times New Roman"/>
          <w:sz w:val="24"/>
          <w:szCs w:val="24"/>
        </w:rPr>
        <w:t xml:space="preserve">et de </w:t>
      </w:r>
      <w:r>
        <w:rPr>
          <w:rFonts w:ascii="Times New Roman" w:eastAsia="Times New Roman" w:hAnsi="Times New Roman" w:cs="Times New Roman"/>
          <w:i/>
          <w:iCs/>
          <w:sz w:val="24"/>
          <w:szCs w:val="24"/>
        </w:rPr>
        <w:t>lex stricta</w:t>
      </w:r>
      <w:r>
        <w:rPr>
          <w:rFonts w:ascii="Times New Roman" w:eastAsia="Times New Roman" w:hAnsi="Times New Roman" w:cs="Times New Roman"/>
          <w:sz w:val="24"/>
          <w:szCs w:val="24"/>
        </w:rPr>
        <w:t>, soit l’exigence d’une loi pénale établie en des termes précis et interprétée de manière stricte.</w:t>
      </w:r>
    </w:p>
    <w:p w14:paraId="00000043" w14:textId="77777777" w:rsidR="00135230" w:rsidRDefault="00000000">
      <w:pPr>
        <w:numPr>
          <w:ilvl w:val="0"/>
          <w:numId w:val="5"/>
        </w:numPr>
        <w:spacing w:after="200"/>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u w:val="single"/>
        </w:rPr>
        <w:t>Le standard applicable : une loi pénale claire, précise et prévisible</w:t>
      </w:r>
    </w:p>
    <w:p w14:paraId="00000044" w14:textId="77777777" w:rsidR="00135230" w:rsidRDefault="00000000">
      <w:pPr>
        <w:numPr>
          <w:ilvl w:val="0"/>
          <w:numId w:val="6"/>
        </w:numPr>
        <w:spacing w:after="200"/>
        <w:jc w:val="both"/>
        <w:rPr>
          <w:b/>
          <w:bCs/>
        </w:rPr>
      </w:pPr>
      <w:r>
        <w:rPr>
          <w:rFonts w:ascii="Times New Roman" w:eastAsia="Times New Roman" w:hAnsi="Times New Roman" w:cs="Times New Roman"/>
          <w:b/>
          <w:bCs/>
          <w:i/>
          <w:iCs/>
          <w:sz w:val="24"/>
          <w:szCs w:val="24"/>
          <w:u w:val="single"/>
        </w:rPr>
        <w:t>La consécration de l’exigence de lex certa aux niveaux international, africain et national</w:t>
      </w:r>
    </w:p>
    <w:p w14:paraId="00000045" w14:textId="77777777" w:rsidR="00135230" w:rsidRDefault="00000000">
      <w:pPr>
        <w:spacing w:after="200"/>
        <w:jc w:val="both"/>
        <w:rPr>
          <w:rFonts w:ascii="Times New Roman" w:eastAsia="Times New Roman" w:hAnsi="Times New Roman" w:cs="Times New Roman"/>
          <w:color w:val="1F1F1F"/>
          <w:sz w:val="24"/>
          <w:szCs w:val="24"/>
          <w:highlight w:val="white"/>
        </w:rPr>
      </w:pPr>
      <w:r>
        <w:rPr>
          <w:rFonts w:ascii="Times New Roman" w:eastAsia="Times New Roman" w:hAnsi="Times New Roman" w:cs="Times New Roman"/>
          <w:color w:val="1F1F1F"/>
          <w:sz w:val="24"/>
          <w:szCs w:val="24"/>
          <w:highlight w:val="white"/>
        </w:rPr>
        <w:t xml:space="preserve">Le </w:t>
      </w:r>
      <w:r>
        <w:rPr>
          <w:rFonts w:ascii="Times New Roman" w:eastAsia="Times New Roman" w:hAnsi="Times New Roman" w:cs="Times New Roman"/>
          <w:b/>
          <w:bCs/>
          <w:color w:val="1F1F1F"/>
          <w:sz w:val="24"/>
          <w:szCs w:val="24"/>
          <w:highlight w:val="white"/>
        </w:rPr>
        <w:t>Comité des droits de l’Homme</w:t>
      </w:r>
      <w:r>
        <w:rPr>
          <w:rFonts w:ascii="Times New Roman" w:eastAsia="Times New Roman" w:hAnsi="Times New Roman" w:cs="Times New Roman"/>
          <w:color w:val="1F1F1F"/>
          <w:sz w:val="24"/>
          <w:szCs w:val="24"/>
          <w:highlight w:val="white"/>
        </w:rPr>
        <w:t xml:space="preserve"> mentionne expressément l’exigence de clarté et de précision de la loi pénale, et ce dans son </w:t>
      </w:r>
      <w:r>
        <w:rPr>
          <w:rFonts w:ascii="Times New Roman" w:eastAsia="Times New Roman" w:hAnsi="Times New Roman" w:cs="Times New Roman"/>
          <w:b/>
          <w:bCs/>
          <w:color w:val="1F1F1F"/>
          <w:sz w:val="24"/>
          <w:szCs w:val="24"/>
          <w:highlight w:val="white"/>
        </w:rPr>
        <w:t>Observation générale n°27</w:t>
      </w:r>
      <w:r>
        <w:rPr>
          <w:rFonts w:ascii="Times New Roman" w:eastAsia="Times New Roman" w:hAnsi="Times New Roman" w:cs="Times New Roman"/>
          <w:color w:val="1F1F1F"/>
          <w:sz w:val="24"/>
          <w:szCs w:val="24"/>
          <w:highlight w:val="white"/>
        </w:rPr>
        <w:t xml:space="preserve"> concernant les restrictions à la liberté de mouvement :</w:t>
      </w:r>
    </w:p>
    <w:p w14:paraId="00000046" w14:textId="77777777" w:rsidR="00135230" w:rsidRDefault="00000000">
      <w:pPr>
        <w:spacing w:after="200"/>
        <w:jc w:val="both"/>
        <w:rPr>
          <w:rFonts w:ascii="Calibri" w:eastAsia="Calibri" w:hAnsi="Calibri" w:cs="Calibri"/>
          <w:highlight w:val="white"/>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highlight w:val="white"/>
        </w:rPr>
        <w:t xml:space="preserve">Les lois autorisant l'application de restrictions </w:t>
      </w:r>
      <w:r>
        <w:rPr>
          <w:rFonts w:ascii="Times New Roman" w:eastAsia="Times New Roman" w:hAnsi="Times New Roman" w:cs="Times New Roman"/>
          <w:b/>
          <w:bCs/>
          <w:i/>
          <w:iCs/>
          <w:sz w:val="24"/>
          <w:szCs w:val="24"/>
          <w:highlight w:val="white"/>
          <w:u w:val="single"/>
        </w:rPr>
        <w:t>devraient être formulées selon des critères précis</w:t>
      </w:r>
      <w:r>
        <w:rPr>
          <w:rFonts w:ascii="Times New Roman" w:eastAsia="Times New Roman" w:hAnsi="Times New Roman" w:cs="Times New Roman"/>
          <w:i/>
          <w:iCs/>
          <w:sz w:val="24"/>
          <w:szCs w:val="24"/>
          <w:highlight w:val="white"/>
        </w:rPr>
        <w:t xml:space="preserve"> et ne peuvent pas conférer des pouvoirs illimités aux personnes chargées de veiller à leur application.</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2"/>
      </w:r>
    </w:p>
    <w:p w14:paraId="00000047"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L’exigence de clarté de la loi pénale est également reconnue par la Commission africaine des droits de l’Homme et des peuples, la Cour africaine des droits de l’Homme et des peuples et la Cour de la CEDEAO.</w:t>
      </w:r>
    </w:p>
    <w:p w14:paraId="00000048"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w:t>
      </w:r>
      <w:r>
        <w:rPr>
          <w:rFonts w:ascii="Times New Roman" w:eastAsia="Times New Roman" w:hAnsi="Times New Roman" w:cs="Times New Roman"/>
          <w:b/>
          <w:bCs/>
          <w:sz w:val="24"/>
          <w:szCs w:val="24"/>
        </w:rPr>
        <w:t>Commission africaine des droits de l’Homme et des peuples</w:t>
      </w:r>
      <w:r>
        <w:rPr>
          <w:rFonts w:ascii="Times New Roman" w:eastAsia="Times New Roman" w:hAnsi="Times New Roman" w:cs="Times New Roman"/>
          <w:sz w:val="24"/>
          <w:szCs w:val="24"/>
        </w:rPr>
        <w:t xml:space="preserve"> énonce dans ses </w:t>
      </w:r>
      <w:r>
        <w:rPr>
          <w:rFonts w:ascii="Times New Roman" w:eastAsia="Times New Roman" w:hAnsi="Times New Roman" w:cs="Times New Roman"/>
          <w:b/>
          <w:bCs/>
          <w:sz w:val="24"/>
          <w:szCs w:val="24"/>
        </w:rPr>
        <w:t>Principes et directives sur les droits de l’homme et des peuples dans la lutte contre le terrorisme en Afrique</w:t>
      </w:r>
      <w:r>
        <w:rPr>
          <w:rFonts w:ascii="Times New Roman" w:eastAsia="Times New Roman" w:hAnsi="Times New Roman" w:cs="Times New Roman"/>
          <w:sz w:val="24"/>
          <w:szCs w:val="24"/>
        </w:rPr>
        <w:t xml:space="preserve"> : </w:t>
      </w:r>
    </w:p>
    <w:p w14:paraId="00000049"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Nul ne peut être condamné pour un acte ou une omission qui ne constituait pas une </w:t>
      </w:r>
      <w:r>
        <w:rPr>
          <w:rFonts w:ascii="Times New Roman" w:eastAsia="Times New Roman" w:hAnsi="Times New Roman" w:cs="Times New Roman"/>
          <w:b/>
          <w:bCs/>
          <w:i/>
          <w:iCs/>
          <w:sz w:val="24"/>
          <w:szCs w:val="24"/>
          <w:u w:val="single"/>
        </w:rPr>
        <w:t>infraction punissable</w:t>
      </w:r>
      <w:r>
        <w:rPr>
          <w:rFonts w:ascii="Times New Roman" w:eastAsia="Times New Roman" w:hAnsi="Times New Roman" w:cs="Times New Roman"/>
          <w:i/>
          <w:iCs/>
          <w:sz w:val="24"/>
          <w:szCs w:val="24"/>
        </w:rPr>
        <w:t xml:space="preserve"> par le droit national ou international, </w:t>
      </w:r>
      <w:r>
        <w:rPr>
          <w:rFonts w:ascii="Times New Roman" w:eastAsia="Times New Roman" w:hAnsi="Times New Roman" w:cs="Times New Roman"/>
          <w:b/>
          <w:bCs/>
          <w:i/>
          <w:iCs/>
          <w:sz w:val="24"/>
          <w:szCs w:val="24"/>
          <w:u w:val="single"/>
        </w:rPr>
        <w:t>tel que défini par des dispositions claires et précises,</w:t>
      </w:r>
      <w:r>
        <w:rPr>
          <w:rFonts w:ascii="Times New Roman" w:eastAsia="Times New Roman" w:hAnsi="Times New Roman" w:cs="Times New Roman"/>
          <w:i/>
          <w:iCs/>
          <w:sz w:val="24"/>
          <w:szCs w:val="24"/>
        </w:rPr>
        <w:t xml:space="preserve"> au moment où il a été commis.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3"/>
      </w:r>
    </w:p>
    <w:p w14:paraId="0000004A"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Cour africaine des droits de l’Homme et des peuples a consacré l’exigence de clarté de la loi pénale dans son arrêt </w:t>
      </w:r>
      <w:r>
        <w:rPr>
          <w:rFonts w:ascii="Times New Roman" w:eastAsia="Times New Roman" w:hAnsi="Times New Roman" w:cs="Times New Roman"/>
          <w:b/>
          <w:bCs/>
          <w:sz w:val="24"/>
          <w:szCs w:val="24"/>
        </w:rPr>
        <w:t>Ingabire Victoire Umuhoza c. République du Rwanda</w:t>
      </w:r>
      <w:r>
        <w:rPr>
          <w:rFonts w:ascii="Times New Roman" w:eastAsia="Times New Roman" w:hAnsi="Times New Roman" w:cs="Times New Roman"/>
          <w:sz w:val="24"/>
          <w:szCs w:val="24"/>
        </w:rPr>
        <w:t xml:space="preserve"> de 2017 : </w:t>
      </w:r>
    </w:p>
    <w:p w14:paraId="3CD2FC32" w14:textId="6010DFF8" w:rsidR="000F55CA"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Le principe de légalité des incriminations commande que la société soit au préalable informée des comportements interdits avant l'entrée en vigueur d'une loi interdisant ou criminalisant un tel comportement. En d'autres termes, </w:t>
      </w:r>
      <w:r>
        <w:rPr>
          <w:rFonts w:ascii="Times New Roman" w:eastAsia="Times New Roman" w:hAnsi="Times New Roman" w:cs="Times New Roman"/>
          <w:b/>
          <w:bCs/>
          <w:i/>
          <w:iCs/>
          <w:sz w:val="24"/>
          <w:szCs w:val="24"/>
          <w:u w:val="single"/>
        </w:rPr>
        <w:t xml:space="preserve">le comportement prohibé doit être clair </w:t>
      </w:r>
      <w:r>
        <w:rPr>
          <w:rFonts w:ascii="Times New Roman" w:eastAsia="Times New Roman" w:hAnsi="Times New Roman" w:cs="Times New Roman"/>
          <w:b/>
          <w:bCs/>
          <w:i/>
          <w:iCs/>
          <w:sz w:val="24"/>
          <w:szCs w:val="24"/>
          <w:u w:val="single"/>
        </w:rPr>
        <w:lastRenderedPageBreak/>
        <w:t>et vérifiable</w:t>
      </w:r>
      <w:r>
        <w:rPr>
          <w:rFonts w:ascii="Times New Roman" w:eastAsia="Times New Roman" w:hAnsi="Times New Roman" w:cs="Times New Roman"/>
          <w:i/>
          <w:iCs/>
          <w:sz w:val="24"/>
          <w:szCs w:val="24"/>
        </w:rPr>
        <w:t xml:space="preserve"> et la sanction à laquelle expose une infraction doit être précise avant que les individus n'en soient tenus responsables</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w:t>
      </w:r>
    </w:p>
    <w:p w14:paraId="0000004C"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la Cour de la CEDEAO énonce dans son arrêt Amnesty International et autres c. Togo de 2020 que :</w:t>
      </w:r>
      <w:r>
        <w:rPr>
          <w:rFonts w:ascii="Times New Roman" w:eastAsia="Times New Roman" w:hAnsi="Times New Roman" w:cs="Times New Roman"/>
          <w:b/>
          <w:bCs/>
          <w:sz w:val="24"/>
          <w:szCs w:val="24"/>
        </w:rPr>
        <w:t/>
      </w:r>
      <w:r>
        <w:rPr>
          <w:rFonts w:ascii="Times New Roman" w:eastAsia="Times New Roman" w:hAnsi="Times New Roman" w:cs="Times New Roman"/>
          <w:sz w:val="24"/>
          <w:szCs w:val="24"/>
        </w:rPr>
        <w:t xml:space="preserve"/>
      </w:r>
      <w:r>
        <w:rPr>
          <w:rFonts w:ascii="Times New Roman" w:eastAsia="Times New Roman" w:hAnsi="Times New Roman" w:cs="Times New Roman"/>
          <w:b/>
          <w:bCs/>
          <w:sz w:val="24"/>
          <w:szCs w:val="24"/>
        </w:rPr>
        <w:t/>
      </w:r>
      <w:r>
        <w:rPr>
          <w:rFonts w:ascii="Times New Roman" w:eastAsia="Times New Roman" w:hAnsi="Times New Roman" w:cs="Times New Roman"/>
          <w:sz w:val="24"/>
          <w:szCs w:val="24"/>
        </w:rPr>
        <w:t xml:space="preserve"/>
      </w:r>
    </w:p>
    <w:p w14:paraId="0000004D" w14:textId="6B0260E5"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 </w:t>
      </w:r>
      <w:r>
        <w:rPr>
          <w:rFonts w:ascii="Times New Roman" w:eastAsia="Times New Roman" w:hAnsi="Times New Roman" w:cs="Times New Roman"/>
          <w:b/>
          <w:bCs/>
          <w:i/>
          <w:iCs/>
          <w:sz w:val="24"/>
          <w:szCs w:val="24"/>
          <w:u w:val="single"/>
        </w:rPr>
        <w:t>la loi doit éviter toute imprécision inutile et être formulée avec une précision suffisante pour permettre à chacun d'adapter sa conduite en conséquence</w:t>
      </w:r>
      <w:r>
        <w:rPr>
          <w:rFonts w:ascii="Times New Roman" w:eastAsia="Times New Roman" w:hAnsi="Times New Roman" w:cs="Times New Roman"/>
          <w:i/>
          <w:iCs/>
          <w:sz w:val="24"/>
          <w:szCs w:val="24"/>
        </w:rPr>
        <w:t>. Il ne suffit pas aux États de simplement citer une loi censée autoriser la restriction ; ils doivent s'assurer que toute loi restreignant la liberté d'expression n'est ni arbitraire ni déraisonnable et qu'elle respecte les normes de transparence établies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5"/>
      </w:r>
    </w:p>
    <w:p w14:paraId="47EC16C0" w14:textId="77777777" w:rsidR="000F55CA" w:rsidRDefault="000F55CA" w:rsidP="000F55CA">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Au niveau du continent américain, la </w:t>
      </w:r>
      <w:r>
        <w:rPr>
          <w:rFonts w:ascii="Times New Roman" w:eastAsia="Times New Roman" w:hAnsi="Times New Roman" w:cs="Times New Roman"/>
          <w:b/>
          <w:bCs/>
          <w:sz w:val="24"/>
          <w:szCs w:val="24"/>
        </w:rPr>
        <w:t>Cour interaméricaine des droits de l’Homme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estime dans son arrêt </w:t>
      </w:r>
      <w:r>
        <w:rPr>
          <w:rFonts w:ascii="Times New Roman" w:eastAsia="Times New Roman" w:hAnsi="Times New Roman" w:cs="Times New Roman"/>
          <w:b/>
          <w:bCs/>
          <w:sz w:val="24"/>
          <w:szCs w:val="24"/>
        </w:rPr>
        <w:t>Castillo Petruzzi et Autres</w:t>
      </w:r>
      <w:r>
        <w:rPr>
          <w:rFonts w:ascii="Times New Roman" w:eastAsia="Times New Roman" w:hAnsi="Times New Roman" w:cs="Times New Roman"/>
          <w:sz w:val="24"/>
          <w:szCs w:val="24"/>
        </w:rPr>
        <w:t xml:space="preserve"> que le principe de légalité :</w:t>
      </w:r>
    </w:p>
    <w:p w14:paraId="473199D8" w14:textId="77777777" w:rsidR="000F55CA" w:rsidRPr="00811AE5" w:rsidRDefault="000F55CA" w:rsidP="000F55CA">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 </w:t>
      </w:r>
      <w:r w:rsidRPr="00811AE5">
        <w:rPr>
          <w:rFonts w:ascii="Times New Roman" w:eastAsia="Times New Roman" w:hAnsi="Times New Roman" w:cs="Times New Roman"/>
          <w:i/>
          <w:iCs/>
          <w:sz w:val="24"/>
          <w:szCs w:val="24"/>
          <w:highlight w:val="white"/>
          <w:lang w:val="en-GB"/>
        </w:rPr>
        <w:t xml:space="preserve">signifie une </w:t>
      </w:r>
      <w:r w:rsidRPr="00811AE5">
        <w:rPr>
          <w:rFonts w:ascii="Times New Roman" w:eastAsia="Times New Roman" w:hAnsi="Times New Roman" w:cs="Times New Roman"/>
          <w:b/>
          <w:bCs/>
          <w:i/>
          <w:iCs/>
          <w:sz w:val="24"/>
          <w:szCs w:val="24"/>
          <w:highlight w:val="white"/>
          <w:u w:val="single"/>
          <w:lang w:val="en-GB"/>
        </w:rPr>
        <w:t>définition claire</w:t>
      </w:r>
      <w:r w:rsidRPr="00811AE5">
        <w:rPr>
          <w:rFonts w:ascii="Times New Roman" w:eastAsia="Times New Roman" w:hAnsi="Times New Roman" w:cs="Times New Roman"/>
          <w:i/>
          <w:iCs/>
          <w:sz w:val="24"/>
          <w:szCs w:val="24"/>
          <w:highlight w:val="white"/>
          <w:lang w:val="en-GB"/>
        </w:rPr>
        <w:t xml:space="preserve"> du comportement incriminé, </w:t>
      </w:r>
      <w:r w:rsidRPr="00811AE5">
        <w:rPr>
          <w:rFonts w:ascii="Times New Roman" w:eastAsia="Times New Roman" w:hAnsi="Times New Roman" w:cs="Times New Roman"/>
          <w:b/>
          <w:bCs/>
          <w:i/>
          <w:iCs/>
          <w:sz w:val="24"/>
          <w:szCs w:val="24"/>
          <w:highlight w:val="white"/>
          <w:u w:val="single"/>
          <w:lang w:val="en-GB"/>
        </w:rPr>
        <w:t>établissant ses éléments constitutifs</w:t>
      </w:r>
      <w:r w:rsidRPr="00811AE5">
        <w:rPr>
          <w:rFonts w:ascii="Times New Roman" w:eastAsia="Times New Roman" w:hAnsi="Times New Roman" w:cs="Times New Roman"/>
          <w:i/>
          <w:iCs/>
          <w:sz w:val="24"/>
          <w:szCs w:val="24"/>
          <w:highlight w:val="white"/>
          <w:lang w:val="en-GB"/>
        </w:rPr>
        <w:t xml:space="preserve"> et les facteurs qui le distinguent des comportements qui ne constituent pas des infractions punissables ou qui sont punissables sans emprisonnement.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26"/>
      </w:r>
    </w:p>
    <w:p w14:paraId="54E7C1FE" w14:textId="77777777" w:rsidR="000F55CA" w:rsidRDefault="000F55CA" w:rsidP="000F55CA">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son côté, la </w:t>
      </w:r>
      <w:r>
        <w:rPr>
          <w:rFonts w:ascii="Times New Roman" w:eastAsia="Times New Roman" w:hAnsi="Times New Roman" w:cs="Times New Roman"/>
          <w:b/>
          <w:bCs/>
          <w:sz w:val="24"/>
          <w:szCs w:val="24"/>
        </w:rPr>
        <w:t>Cour européenne des droits de l’Homme</w:t>
      </w:r>
      <w:r>
        <w:rPr>
          <w:rFonts w:ascii="Times New Roman" w:eastAsia="Times New Roman" w:hAnsi="Times New Roman" w:cs="Times New Roman"/>
          <w:sz w:val="24"/>
          <w:szCs w:val="24"/>
        </w:rPr>
        <w:t xml:space="preserve"> s’appuie sur l’exigence de clarté de la loi pénale notamment dans son arrêt </w:t>
      </w:r>
      <w:r>
        <w:rPr>
          <w:rFonts w:ascii="Times New Roman" w:eastAsia="Times New Roman" w:hAnsi="Times New Roman" w:cs="Times New Roman"/>
          <w:b/>
          <w:bCs/>
          <w:sz w:val="24"/>
          <w:szCs w:val="24"/>
        </w:rPr>
        <w:t>G.I.E.M S.R.L. et autres c. Italie</w:t>
      </w:r>
      <w:r>
        <w:rPr>
          <w:rFonts w:ascii="Times New Roman" w:eastAsia="Times New Roman" w:hAnsi="Times New Roman" w:cs="Times New Roman"/>
          <w:sz w:val="24"/>
          <w:szCs w:val="24"/>
        </w:rPr>
        <w:t xml:space="preserve"> :</w:t>
      </w:r>
    </w:p>
    <w:p w14:paraId="2C62087B" w14:textId="3520968B" w:rsidR="000F55CA" w:rsidRDefault="000F55CA">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 </w:t>
      </w:r>
      <w:r>
        <w:rPr>
          <w:rFonts w:ascii="Times New Roman" w:eastAsia="Times New Roman" w:hAnsi="Times New Roman" w:cs="Times New Roman"/>
          <w:i/>
          <w:iCs/>
          <w:sz w:val="24"/>
          <w:szCs w:val="24"/>
          <w:highlight w:val="white"/>
        </w:rPr>
        <w:t xml:space="preserve">il découle du principe de la légalité des délits et des peines que </w:t>
      </w:r>
      <w:r>
        <w:rPr>
          <w:rFonts w:ascii="Times New Roman" w:eastAsia="Times New Roman" w:hAnsi="Times New Roman" w:cs="Times New Roman"/>
          <w:b/>
          <w:bCs/>
          <w:i/>
          <w:iCs/>
          <w:sz w:val="24"/>
          <w:szCs w:val="24"/>
          <w:highlight w:val="white"/>
          <w:u w:val="single"/>
        </w:rPr>
        <w:t>la loi pénale doit définir clairement les infractions et les peines qui les répriment</w:t>
      </w:r>
      <w:r>
        <w:rPr>
          <w:rFonts w:ascii="Times New Roman" w:eastAsia="Times New Roman" w:hAnsi="Times New Roman" w:cs="Times New Roman"/>
          <w:i/>
          <w:iCs/>
          <w:sz w:val="24"/>
          <w:szCs w:val="24"/>
          <w:highlight w:val="white"/>
        </w:rPr>
        <w:t>, de façon à être accessible et prévisible dans ses effets.</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27"/>
      </w:r>
    </w:p>
    <w:p w14:paraId="0000004E"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même, le principe de </w:t>
      </w:r>
      <w:r>
        <w:rPr>
          <w:rFonts w:ascii="Times New Roman" w:eastAsia="Times New Roman" w:hAnsi="Times New Roman" w:cs="Times New Roman"/>
          <w:i/>
          <w:iCs/>
          <w:sz w:val="24"/>
          <w:szCs w:val="24"/>
        </w:rPr>
        <w:t>lex certa</w:t>
      </w:r>
      <w:r>
        <w:rPr>
          <w:rFonts w:ascii="Times New Roman" w:eastAsia="Times New Roman" w:hAnsi="Times New Roman" w:cs="Times New Roman"/>
          <w:sz w:val="24"/>
          <w:szCs w:val="24"/>
        </w:rPr>
        <w:t xml:space="preserve"> est un principe largement accepté au niveau national par les États d’Afrique.</w:t>
      </w:r>
    </w:p>
    <w:p w14:paraId="0000004F"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illustrer, la </w:t>
      </w:r>
      <w:r>
        <w:rPr>
          <w:rFonts w:ascii="Times New Roman" w:eastAsia="Times New Roman" w:hAnsi="Times New Roman" w:cs="Times New Roman"/>
          <w:b/>
          <w:bCs/>
          <w:sz w:val="24"/>
          <w:szCs w:val="24"/>
        </w:rPr>
        <w:t>Cour constitutionnelle d’Ouganda</w:t>
      </w:r>
      <w:r>
        <w:rPr>
          <w:rFonts w:ascii="Times New Roman" w:eastAsia="Times New Roman" w:hAnsi="Times New Roman" w:cs="Times New Roman"/>
          <w:sz w:val="24"/>
          <w:szCs w:val="24"/>
        </w:rPr>
        <w:t xml:space="preserve"> pose dans son arrêt </w:t>
      </w:r>
      <w:r>
        <w:rPr>
          <w:rFonts w:ascii="Times New Roman" w:eastAsia="Times New Roman" w:hAnsi="Times New Roman" w:cs="Times New Roman"/>
          <w:b/>
          <w:bCs/>
          <w:sz w:val="24"/>
          <w:szCs w:val="24"/>
          <w:highlight w:val="white"/>
        </w:rPr>
        <w:t>Francis Tumwesiqe Ateenvi c. Procureur général</w:t>
      </w:r>
      <w:r>
        <w:rPr>
          <w:rFonts w:ascii="Times New Roman" w:eastAsia="Times New Roman" w:hAnsi="Times New Roman" w:cs="Times New Roman"/>
          <w:sz w:val="24"/>
          <w:szCs w:val="24"/>
          <w:highlight w:val="white"/>
        </w:rPr>
        <w:t xml:space="preserve"> de 2022 : </w:t>
      </w:r>
    </w:p>
    <w:p w14:paraId="00000050" w14:textId="554C3105" w:rsidR="00135230" w:rsidRDefault="00000000">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Il est impératif, au regard de la Constitution, qu’une infraction pénale soit définie, ce qui signifie qu’elle </w:t>
      </w:r>
      <w:r w:rsidRPr="00811AE5">
        <w:rPr>
          <w:rFonts w:ascii="Times New Roman" w:eastAsia="Times New Roman" w:hAnsi="Times New Roman" w:cs="Times New Roman"/>
          <w:b/>
          <w:bCs/>
          <w:i/>
          <w:iCs/>
          <w:sz w:val="24"/>
          <w:szCs w:val="24"/>
          <w:highlight w:val="white"/>
          <w:u w:val="single"/>
          <w:lang w:val="en-GB"/>
        </w:rPr>
        <w:t>doit être définie précisément afin que ses éléments constitutifs soient clairs pour tous</w:t>
      </w:r>
      <w:r w:rsidRPr="00811AE5">
        <w:rPr>
          <w:rFonts w:ascii="Times New Roman" w:eastAsia="Times New Roman" w:hAnsi="Times New Roman" w:cs="Times New Roman"/>
          <w:i/>
          <w:iCs/>
          <w:sz w:val="24"/>
          <w:szCs w:val="24"/>
          <w:highlight w:val="white"/>
          <w:lang w:val="en-GB"/>
        </w:rPr>
        <w:t>. Lesdits éléments ou composantes ne doivent pas être ambigus, vagues ou trop larges au point d’empêcher une définition précise.</w:t>
      </w:r>
      <w:r w:rsidRPr="00811AE5">
        <w:rPr>
          <w:rFonts w:ascii="Times New Roman" w:eastAsia="Times New Roman" w:hAnsi="Times New Roman" w:cs="Times New Roman"/>
          <w:sz w:val="24"/>
          <w:szCs w:val="24"/>
          <w:highlight w:val="white"/>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28"/>
      </w:r>
    </w:p>
    <w:p w14:paraId="00000051"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En outre, le paragraphe 56 de la décision susmentionnée précise que la sanction de l’imprécision est l'inconstitutionnalité de la disposition.</w:t>
      </w:r>
    </w:p>
    <w:p w14:paraId="00000052" w14:textId="77777777" w:rsidR="00135230" w:rsidRPr="00811AE5" w:rsidRDefault="00000000">
      <w:pPr>
        <w:spacing w:after="200"/>
        <w:jc w:val="both"/>
        <w:rPr>
          <w:rFonts w:ascii="Times New Roman" w:eastAsia="Times New Roman" w:hAnsi="Times New Roman" w:cs="Times New Roman"/>
          <w:sz w:val="24"/>
          <w:szCs w:val="24"/>
          <w:highlight w:val="white"/>
          <w:lang w:val="en-GB"/>
        </w:rPr>
      </w:pPr>
      <w:r w:rsidRPr="00811AE5">
        <w:rPr>
          <w:rFonts w:ascii="Times New Roman" w:eastAsia="Times New Roman" w:hAnsi="Times New Roman" w:cs="Times New Roman"/>
          <w:sz w:val="24"/>
          <w:szCs w:val="24"/>
          <w:highlight w:val="white"/>
          <w:lang w:val="en-GB"/>
        </w:rPr>
        <w:t xml:space="preserve">Selon la Haute Cour du Kenya dans son arrêt EG et 7 autres c. Procureur général DKM et 9 autres : </w:t>
      </w:r>
      <w:r w:rsidRPr="00811AE5">
        <w:rPr>
          <w:rFonts w:ascii="Times New Roman" w:eastAsia="Times New Roman" w:hAnsi="Times New Roman" w:cs="Times New Roman"/>
          <w:b/>
          <w:bCs/>
          <w:sz w:val="24"/>
          <w:szCs w:val="24"/>
          <w:highlight w:val="white"/>
          <w:lang w:val="en-GB"/>
        </w:rPr>
        <w:t/>
      </w:r>
      <w:r w:rsidRPr="00811AE5">
        <w:rPr>
          <w:rFonts w:ascii="Times New Roman" w:eastAsia="Times New Roman" w:hAnsi="Times New Roman" w:cs="Times New Roman"/>
          <w:sz w:val="24"/>
          <w:szCs w:val="24"/>
          <w:highlight w:val="white"/>
          <w:lang w:val="en-GB"/>
        </w:rPr>
        <w:t xml:space="preserve"/>
      </w:r>
      <w:r w:rsidRPr="00811AE5">
        <w:rPr>
          <w:rFonts w:ascii="Times New Roman" w:eastAsia="Times New Roman" w:hAnsi="Times New Roman" w:cs="Times New Roman"/>
          <w:b/>
          <w:bCs/>
          <w:sz w:val="24"/>
          <w:szCs w:val="24"/>
          <w:highlight w:val="white"/>
          <w:lang w:val="en-GB"/>
        </w:rPr>
        <w:t/>
      </w:r>
      <w:r w:rsidRPr="00811AE5">
        <w:rPr>
          <w:rFonts w:ascii="Times New Roman" w:eastAsia="Times New Roman" w:hAnsi="Times New Roman" w:cs="Times New Roman"/>
          <w:sz w:val="24"/>
          <w:szCs w:val="24"/>
          <w:highlight w:val="white"/>
          <w:lang w:val="en-GB"/>
        </w:rPr>
        <w:t xml:space="preserve"/>
      </w:r>
    </w:p>
    <w:p w14:paraId="00000053" w14:textId="77777777" w:rsidR="00135230" w:rsidRDefault="00000000">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La doctrine de la nullité pour imprécision établit des critères précis que toute loi, ou toute législation, doit remplir pour être constitutionnelle. Ces critères comprennent notamment : (a) </w:t>
      </w:r>
      <w:r w:rsidRPr="00811AE5">
        <w:rPr>
          <w:rFonts w:ascii="Times New Roman" w:eastAsia="Times New Roman" w:hAnsi="Times New Roman" w:cs="Times New Roman"/>
          <w:b/>
          <w:bCs/>
          <w:i/>
          <w:iCs/>
          <w:sz w:val="24"/>
          <w:szCs w:val="24"/>
          <w:u w:val="single"/>
          <w:lang w:val="en-GB"/>
        </w:rPr>
        <w:t>la loi doit énoncer explicitement ce qu’elle impose</w:t>
      </w:r>
      <w:r w:rsidRPr="00811AE5">
        <w:rPr>
          <w:rFonts w:ascii="Times New Roman" w:eastAsia="Times New Roman" w:hAnsi="Times New Roman" w:cs="Times New Roman"/>
          <w:i/>
          <w:iCs/>
          <w:sz w:val="24"/>
          <w:szCs w:val="24"/>
          <w:lang w:val="en-GB"/>
        </w:rPr>
        <w:t xml:space="preserve"> ; (b) </w:t>
      </w:r>
      <w:r w:rsidRPr="00811AE5">
        <w:rPr>
          <w:rFonts w:ascii="Times New Roman" w:eastAsia="Times New Roman" w:hAnsi="Times New Roman" w:cs="Times New Roman"/>
          <w:b/>
          <w:bCs/>
          <w:i/>
          <w:iCs/>
          <w:sz w:val="24"/>
          <w:szCs w:val="24"/>
          <w:u w:val="single"/>
          <w:lang w:val="en-GB"/>
        </w:rPr>
        <w:t xml:space="preserve">ce qui est susceptible d’exécution et prévoir des définitions des </w:t>
      </w:r>
      <w:r w:rsidRPr="00811AE5">
        <w:rPr>
          <w:rFonts w:ascii="Times New Roman" w:eastAsia="Times New Roman" w:hAnsi="Times New Roman" w:cs="Times New Roman"/>
          <w:i/>
          <w:iCs/>
          <w:sz w:val="24"/>
          <w:szCs w:val="24"/>
          <w:u w:val="single"/>
          <w:lang w:val="en-GB"/>
        </w:rPr>
        <w:t>termes potentiellement vagues</w:t>
      </w:r>
      <w:r w:rsidRPr="00811AE5">
        <w:rPr>
          <w:rFonts w:ascii="Times New Roman" w:eastAsia="Times New Roman" w:hAnsi="Times New Roman" w:cs="Times New Roman"/>
          <w:i/>
          <w:iCs/>
          <w:sz w:val="24"/>
          <w:szCs w:val="24"/>
          <w:lang w:val="en-GB"/>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w:t>
      </w:r>
    </w:p>
    <w:p w14:paraId="00000054" w14:textId="77777777" w:rsidR="00135230" w:rsidRPr="00811AE5" w:rsidRDefault="00000000">
      <w:pPr>
        <w:spacing w:after="20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 xml:space="preserve">Enfin, la Cour suprême du Ghana reprend elle aussi le principe de clarté de la loi pénale dans son arrêt DR. Prince OBIRI-KORANG c. Procureur général : </w:t>
      </w:r>
      <w:r>
        <w:rPr>
          <w:rFonts w:ascii="Times New Roman" w:eastAsia="Times New Roman" w:hAnsi="Times New Roman" w:cs="Times New Roman"/>
          <w:b/>
          <w:bCs/>
          <w:sz w:val="24"/>
          <w:szCs w:val="24"/>
        </w:rPr>
        <w:t/>
      </w:r>
      <w:r>
        <w:rPr>
          <w:rFonts w:ascii="Times New Roman" w:eastAsia="Times New Roman" w:hAnsi="Times New Roman" w:cs="Times New Roman"/>
          <w:sz w:val="24"/>
          <w:szCs w:val="24"/>
        </w:rPr>
        <w:t xml:space="preserve"/>
      </w:r>
      <w:r>
        <w:rPr>
          <w:rFonts w:ascii="Times New Roman" w:eastAsia="Times New Roman" w:hAnsi="Times New Roman" w:cs="Times New Roman"/>
          <w:b/>
          <w:bCs/>
          <w:sz w:val="24"/>
          <w:szCs w:val="24"/>
        </w:rPr>
        <w:t xml:space="preserve"/>
      </w:r>
      <w:r w:rsidRPr="00811AE5">
        <w:rPr>
          <w:rFonts w:ascii="Times New Roman" w:eastAsia="Times New Roman" w:hAnsi="Times New Roman" w:cs="Times New Roman"/>
          <w:b/>
          <w:bCs/>
          <w:sz w:val="24"/>
          <w:szCs w:val="24"/>
          <w:lang w:val="en-GB"/>
        </w:rPr>
        <w:t/>
      </w:r>
      <w:r w:rsidRPr="00811AE5">
        <w:rPr>
          <w:rFonts w:ascii="Times New Roman" w:eastAsia="Times New Roman" w:hAnsi="Times New Roman" w:cs="Times New Roman"/>
          <w:sz w:val="24"/>
          <w:szCs w:val="24"/>
          <w:lang w:val="en-GB"/>
        </w:rPr>
        <w:t xml:space="preserve"/>
      </w:r>
    </w:p>
    <w:p w14:paraId="00000055" w14:textId="60F8562D" w:rsidR="00135230" w:rsidRPr="00811AE5" w:rsidRDefault="00000000">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b/>
          <w:bCs/>
          <w:i/>
          <w:iCs/>
          <w:sz w:val="24"/>
          <w:szCs w:val="24"/>
          <w:highlight w:val="white"/>
          <w:u w:val="single"/>
          <w:lang w:val="en-GB"/>
        </w:rPr>
        <w:t>Hence, once the test of legality is met in terms of Articles 19(5) and 19(11) of the Constitution 1992</w:t>
      </w:r>
      <w:r w:rsidRPr="00811AE5">
        <w:rPr>
          <w:rFonts w:ascii="Times New Roman" w:eastAsia="Times New Roman" w:hAnsi="Times New Roman" w:cs="Times New Roman"/>
          <w:i/>
          <w:iCs/>
          <w:sz w:val="24"/>
          <w:szCs w:val="24"/>
          <w:highlight w:val="white"/>
          <w:lang w:val="en-GB"/>
        </w:rPr>
        <w:t xml:space="preserve">, criminalising such conduct and to the extent that, same is not adverse to the constitutional consistency, the state’s objection and sanctioning regime </w:t>
      </w:r>
      <w:r w:rsidRPr="00811AE5">
        <w:rPr>
          <w:rFonts w:ascii="Times New Roman" w:eastAsia="Times New Roman" w:hAnsi="Times New Roman" w:cs="Times New Roman"/>
          <w:b/>
          <w:bCs/>
          <w:i/>
          <w:iCs/>
          <w:sz w:val="24"/>
          <w:szCs w:val="24"/>
          <w:highlight w:val="white"/>
          <w:u w:val="single"/>
          <w:lang w:val="en-GB"/>
        </w:rPr>
        <w:t>will not render the offence unconstitutional</w:t>
      </w:r>
      <w:r w:rsidRPr="00811AE5">
        <w:rPr>
          <w:rFonts w:ascii="Times New Roman" w:eastAsia="Times New Roman" w:hAnsi="Times New Roman" w:cs="Times New Roman"/>
          <w:i/>
          <w:iCs/>
          <w:sz w:val="24"/>
          <w:szCs w:val="24"/>
          <w:highlight w:val="white"/>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30"/>
      </w:r>
    </w:p>
    <w:p w14:paraId="00000056" w14:textId="77777777" w:rsidR="00135230" w:rsidRPr="00824F0F" w:rsidRDefault="00000000">
      <w:pPr>
        <w:spacing w:after="200"/>
        <w:jc w:val="both"/>
        <w:rPr>
          <w:rFonts w:ascii="Times New Roman" w:eastAsia="Times New Roman" w:hAnsi="Times New Roman" w:cs="Times New Roman"/>
          <w:sz w:val="24"/>
          <w:szCs w:val="24"/>
          <w:lang w:val="fr-FR"/>
        </w:rPr>
      </w:pPr>
      <w:r w:rsidRPr="00824F0F">
        <w:rPr>
          <w:rFonts w:ascii="Times New Roman" w:eastAsia="Times New Roman" w:hAnsi="Times New Roman" w:cs="Times New Roman"/>
          <w:sz w:val="24"/>
          <w:szCs w:val="24"/>
          <w:lang w:val="fr-FR"/>
        </w:rPr>
        <w:t xml:space="preserve">En l’espèce, l’article 19(11) de la Constitution ghanéenne énonce : </w:t>
      </w:r>
    </w:p>
    <w:p w14:paraId="00000057" w14:textId="77777777" w:rsidR="00135230" w:rsidRPr="00811AE5" w:rsidRDefault="00000000">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Nul ne peut être déclaré coupable d’une infraction pénale </w:t>
      </w:r>
      <w:r w:rsidRPr="00811AE5">
        <w:rPr>
          <w:rFonts w:ascii="Times New Roman" w:eastAsia="Times New Roman" w:hAnsi="Times New Roman" w:cs="Times New Roman"/>
          <w:b/>
          <w:bCs/>
          <w:i/>
          <w:iCs/>
          <w:sz w:val="24"/>
          <w:szCs w:val="24"/>
          <w:highlight w:val="white"/>
          <w:u w:val="single"/>
          <w:lang w:val="en-GB"/>
        </w:rPr>
        <w:t>si l’infraction n’est pas définie</w:t>
      </w:r>
      <w:r w:rsidRPr="00811AE5">
        <w:rPr>
          <w:rFonts w:ascii="Times New Roman" w:eastAsia="Times New Roman" w:hAnsi="Times New Roman" w:cs="Times New Roman"/>
          <w:i/>
          <w:iCs/>
          <w:sz w:val="24"/>
          <w:szCs w:val="24"/>
          <w:highlight w:val="white"/>
          <w:lang w:val="en-GB"/>
        </w:rPr>
        <w:t xml:space="preserve"> et si la peine qui la sanctionne n’est pas prévue par une loi écrite.</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p>
    <w:p w14:paraId="0000005E" w14:textId="77777777" w:rsidR="00135230" w:rsidRDefault="00135230">
      <w:pPr>
        <w:spacing w:after="200"/>
        <w:jc w:val="both"/>
        <w:rPr>
          <w:rFonts w:ascii="Calibri" w:eastAsia="Calibri" w:hAnsi="Calibri" w:cs="Calibri"/>
          <w:highlight w:val="white"/>
        </w:rPr>
      </w:pPr>
    </w:p>
    <w:p w14:paraId="0000005F" w14:textId="77777777" w:rsidR="00135230" w:rsidRDefault="00000000">
      <w:pPr>
        <w:numPr>
          <w:ilvl w:val="0"/>
          <w:numId w:val="6"/>
        </w:numPr>
        <w:spacing w:after="200"/>
        <w:jc w:val="both"/>
        <w:rPr>
          <w:b/>
          <w:bCs/>
          <w:sz w:val="26"/>
          <w:szCs w:val="26"/>
        </w:rPr>
      </w:pPr>
      <w:r>
        <w:rPr>
          <w:rFonts w:ascii="Times New Roman" w:eastAsia="Times New Roman" w:hAnsi="Times New Roman" w:cs="Times New Roman"/>
          <w:b/>
          <w:bCs/>
          <w:i/>
          <w:iCs/>
          <w:sz w:val="24"/>
          <w:szCs w:val="24"/>
          <w:u w:val="single"/>
        </w:rPr>
        <w:t>L’application de lex certa aux lois pénalisant l’homosexualité</w:t>
      </w:r>
    </w:p>
    <w:p w14:paraId="00000060" w14:textId="7700BED1" w:rsidR="00135230" w:rsidRDefault="00000000">
      <w:pPr>
        <w:spacing w:after="200"/>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rPr>
        <w:t xml:space="preserve">La peine encourue en cas de condamnation pour les personnes LGBTI+ étant, dans de nombreux cas, </w:t>
      </w:r>
      <w:r w:rsidRPr="00403261">
        <w:rPr>
          <w:rFonts w:ascii="Times New Roman" w:eastAsia="Times New Roman" w:hAnsi="Times New Roman" w:cs="Times New Roman"/>
          <w:sz w:val="24"/>
          <w:szCs w:val="24"/>
        </w:rPr>
        <w:t>l’emprisonnement,</w:t>
      </w:r>
      <w:r w:rsidRPr="00F914E2">
        <w:rPr>
          <w:rFonts w:ascii="Times New Roman" w:eastAsia="Times New Roman" w:hAnsi="Times New Roman" w:cs="Times New Roman"/>
          <w:sz w:val="24"/>
          <w:szCs w:val="24"/>
          <w:vertAlign w:val="superscript"/>
        </w:rPr>
        <w:footnoteReference w:id="31"/>
      </w:r>
      <w:r w:rsidRPr="00403261">
        <w:rPr>
          <w:rFonts w:ascii="Times New Roman" w:eastAsia="Times New Roman" w:hAnsi="Times New Roman" w:cs="Times New Roman"/>
          <w:sz w:val="24"/>
          <w:szCs w:val="24"/>
        </w:rPr>
        <w:t xml:space="preserve"> un châtiment corporel</w:t>
      </w:r>
      <w:r w:rsidRPr="00F914E2">
        <w:rPr>
          <w:rFonts w:ascii="Times New Roman" w:eastAsia="Times New Roman" w:hAnsi="Times New Roman" w:cs="Times New Roman"/>
          <w:sz w:val="24"/>
          <w:szCs w:val="24"/>
          <w:vertAlign w:val="superscript"/>
        </w:rPr>
        <w:footnoteReference w:id="32"/>
      </w:r>
      <w:r w:rsidRPr="00403261">
        <w:rPr>
          <w:rFonts w:ascii="Times New Roman" w:eastAsia="Times New Roman" w:hAnsi="Times New Roman" w:cs="Times New Roman"/>
          <w:sz w:val="24"/>
          <w:szCs w:val="24"/>
        </w:rPr>
        <w:t xml:space="preserve"> ou encore la peine de mort</w:t>
      </w:r>
      <w:r w:rsidR="006D2D64">
        <w:rPr>
          <w:rFonts w:ascii="Times New Roman" w:eastAsia="Times New Roman" w:hAnsi="Times New Roman" w:cs="Times New Roman"/>
          <w:sz w:val="24"/>
          <w:szCs w:val="24"/>
        </w:rPr>
        <w:t>,</w:t>
      </w:r>
      <w:r w:rsidRPr="00F914E2">
        <w:rPr>
          <w:rFonts w:ascii="Times New Roman" w:eastAsia="Times New Roman" w:hAnsi="Times New Roman" w:cs="Times New Roman"/>
          <w:sz w:val="24"/>
          <w:szCs w:val="24"/>
          <w:vertAlign w:val="superscript"/>
        </w:rPr>
        <w:footnoteReference w:id="33"/>
      </w:r>
      <w:r w:rsidRPr="00403261">
        <w:rPr>
          <w:rFonts w:ascii="Times New Roman" w:eastAsia="Times New Roman" w:hAnsi="Times New Roman" w:cs="Times New Roman"/>
          <w:sz w:val="24"/>
          <w:szCs w:val="24"/>
        </w:rPr>
        <w:t xml:space="preserve"> elle constitue une limitation importante de leurs droits et libertés fondamentales, tels que le droit à la vie ou à la liberté d’expression</w:t>
      </w:r>
      <w:r w:rsidR="00581DF8">
        <w:rPr>
          <w:rFonts w:ascii="Times New Roman" w:eastAsia="Times New Roman" w:hAnsi="Times New Roman" w:cs="Times New Roman"/>
          <w:sz w:val="24"/>
          <w:szCs w:val="24"/>
        </w:rPr>
        <w:t>,</w:t>
      </w:r>
      <w:r w:rsidRPr="00403261">
        <w:rPr>
          <w:rFonts w:ascii="Times New Roman" w:eastAsia="Times New Roman" w:hAnsi="Times New Roman" w:cs="Times New Roman"/>
          <w:sz w:val="24"/>
          <w:szCs w:val="24"/>
        </w:rPr>
        <w:t xml:space="preserve"> notamment. Les dispositions instituant de telles peines sont donc, en tant que telles, d’autant plus assujetties à l’exigence de clarté de la loi, que celles dont la violation ne serait punie que d’une amende, dans le but de protéger les individus face à l’arbitraire des pouvoirs publics.</w:t>
      </w:r>
    </w:p>
    <w:p w14:paraId="00000061"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C’est ce qu’il ressort notamment de l’arrêt de la Haute Cour d’Ouganda, Ouganda c. Abdalla Nabil Salam :</w:t>
      </w:r>
      <w:r>
        <w:rPr>
          <w:rFonts w:ascii="Times New Roman" w:eastAsia="Times New Roman" w:hAnsi="Times New Roman" w:cs="Times New Roman"/>
          <w:b/>
          <w:bCs/>
          <w:sz w:val="24"/>
          <w:szCs w:val="24"/>
          <w:highlight w:val="white"/>
        </w:rPr>
        <w:t/>
      </w:r>
      <w:r>
        <w:rPr>
          <w:rFonts w:ascii="Times New Roman" w:eastAsia="Times New Roman" w:hAnsi="Times New Roman" w:cs="Times New Roman"/>
          <w:b/>
          <w:bCs/>
          <w:sz w:val="24"/>
          <w:szCs w:val="24"/>
        </w:rPr>
        <w:t xml:space="preserve"/>
      </w:r>
      <w:r>
        <w:rPr>
          <w:rFonts w:ascii="Times New Roman" w:eastAsia="Times New Roman" w:hAnsi="Times New Roman" w:cs="Times New Roman"/>
          <w:b/>
          <w:bCs/>
          <w:sz w:val="24"/>
          <w:szCs w:val="24"/>
          <w:highlight w:val="white"/>
        </w:rPr>
        <w:t/>
      </w:r>
      <w:r>
        <w:rPr>
          <w:rFonts w:ascii="Times New Roman" w:eastAsia="Times New Roman" w:hAnsi="Times New Roman" w:cs="Times New Roman"/>
          <w:sz w:val="24"/>
          <w:szCs w:val="24"/>
          <w:highlight w:val="white"/>
        </w:rPr>
        <w:t xml:space="preserve"/>
      </w:r>
    </w:p>
    <w:p w14:paraId="00000062" w14:textId="72A54432" w:rsidR="00135230" w:rsidRDefault="00000000">
      <w:pPr>
        <w:spacing w:after="200"/>
        <w:jc w:val="both"/>
        <w:rPr>
          <w:rFonts w:ascii="Times New Roman" w:eastAsia="Times New Roman" w:hAnsi="Times New Roman" w:cs="Times New Roman"/>
          <w:b/>
          <w:bCs/>
          <w:sz w:val="24"/>
          <w:szCs w:val="24"/>
        </w:rPr>
      </w:pPr>
      <w:r w:rsidRPr="00811AE5">
        <w:rPr>
          <w:rFonts w:ascii="Times New Roman" w:eastAsia="Times New Roman" w:hAnsi="Times New Roman" w:cs="Times New Roman"/>
          <w:sz w:val="24"/>
          <w:szCs w:val="24"/>
          <w:lang w:val="en-GB"/>
        </w:rPr>
        <w:lastRenderedPageBreak/>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L’exigence découlant du principe de légalité est que </w:t>
      </w:r>
      <w:r w:rsidRPr="00811AE5">
        <w:rPr>
          <w:rFonts w:ascii="Times New Roman" w:eastAsia="Times New Roman" w:hAnsi="Times New Roman" w:cs="Times New Roman"/>
          <w:b/>
          <w:bCs/>
          <w:i/>
          <w:iCs/>
          <w:sz w:val="24"/>
          <w:szCs w:val="24"/>
          <w:highlight w:val="white"/>
          <w:u w:val="single"/>
          <w:lang w:val="en-GB"/>
        </w:rPr>
        <w:t>l’intention législative d’abroger ou de restreindre une liberté ou un principe fondamental, ou de s’écarter du système général du droit, doit être exprimée avec une clarté irrésistible</w:t>
      </w:r>
      <w:r w:rsidRPr="00811AE5">
        <w:rPr>
          <w:rFonts w:ascii="Times New Roman" w:eastAsia="Times New Roman" w:hAnsi="Times New Roman" w:cs="Times New Roman"/>
          <w:i/>
          <w:iCs/>
          <w:sz w:val="24"/>
          <w:szCs w:val="24"/>
          <w:highlight w:val="white"/>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34"/>
      </w:r>
    </w:p>
    <w:p w14:paraId="00000063"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le même esprit, selon la </w:t>
      </w:r>
      <w:r>
        <w:rPr>
          <w:rFonts w:ascii="Times New Roman" w:eastAsia="Times New Roman" w:hAnsi="Times New Roman" w:cs="Times New Roman"/>
          <w:b/>
          <w:bCs/>
          <w:sz w:val="24"/>
          <w:szCs w:val="24"/>
        </w:rPr>
        <w:t>Cour d’appel de Tanzanie</w:t>
      </w:r>
      <w:r>
        <w:rPr>
          <w:rFonts w:ascii="Times New Roman" w:eastAsia="Times New Roman" w:hAnsi="Times New Roman" w:cs="Times New Roman"/>
          <w:sz w:val="24"/>
          <w:szCs w:val="24"/>
        </w:rPr>
        <w:t xml:space="preserve"> dans son arrêt </w:t>
      </w:r>
      <w:r>
        <w:rPr>
          <w:rFonts w:ascii="Times New Roman" w:eastAsia="Times New Roman" w:hAnsi="Times New Roman" w:cs="Times New Roman"/>
          <w:b/>
          <w:bCs/>
          <w:sz w:val="24"/>
          <w:szCs w:val="24"/>
          <w:highlight w:val="white"/>
        </w:rPr>
        <w:t>KUKUTIA OLE PUMPUN et un autre c. Procureur général et un autre</w:t>
      </w:r>
      <w:r>
        <w:rPr>
          <w:rFonts w:ascii="Times New Roman" w:eastAsia="Times New Roman" w:hAnsi="Times New Roman" w:cs="Times New Roman"/>
          <w:sz w:val="24"/>
          <w:szCs w:val="24"/>
        </w:rPr>
        <w:t xml:space="preserve"> : </w:t>
      </w:r>
    </w:p>
    <w:p w14:paraId="00000064" w14:textId="49361E23" w:rsidR="00135230" w:rsidRDefault="00000000">
      <w:pPr>
        <w:spacing w:after="200"/>
        <w:jc w:val="both"/>
        <w:rPr>
          <w:rFonts w:ascii="Times New Roman" w:eastAsia="Times New Roman" w:hAnsi="Times New Roman" w:cs="Times New Roman"/>
          <w:sz w:val="24"/>
          <w:szCs w:val="24"/>
          <w:highlight w:val="white"/>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 une loi qui vise à limiter un droit fondamental de l’individu, ou à y déroger, pour des motifs d’intérêt public doit satisfaire à des exigences particulières ; premièrement, une telle loi doit être conforme au droit en ce sens qu’elle ne doit pas être arbitraire. Elle doit prévoir des garanties adéquates contre les décisions arbitraires et des contrôles effectifs contre les abus commis par les autorités lorsqu’elles appliquent la loi. Deuxièmement, la limitation imposée par une telle loi ne doit pas être [...] rédigée de manière trop large au point d’englober tout le monde, y compris les membres de la société qui ne sont pas visés.</w:t>
      </w:r>
      <w:r w:rsidRPr="00811AE5">
        <w:rPr>
          <w:rFonts w:ascii="Times New Roman" w:eastAsia="Times New Roman" w:hAnsi="Times New Roman" w:cs="Times New Roman"/>
          <w:b/>
          <w:bCs/>
          <w:i/>
          <w:iCs/>
          <w:sz w:val="24"/>
          <w:szCs w:val="24"/>
          <w:highlight w:val="white"/>
          <w:u w:val="single"/>
          <w:lang w:val="en-GB"/>
        </w:rPr>
        <w:t xml:space="preserve">a law which seeks to limit or derogate from the basic right of the individual on grounds of public interest will have special </w:t>
      </w:r>
      <w:r w:rsidRPr="00811AE5">
        <w:rPr>
          <w:rFonts w:ascii="Times New Roman" w:eastAsia="Times New Roman" w:hAnsi="Times New Roman" w:cs="Times New Roman"/>
          <w:i/>
          <w:iCs/>
          <w:sz w:val="24"/>
          <w:szCs w:val="24"/>
          <w:lang w:val="en-GB"/>
        </w:rPr>
        <w:t xml:space="preserve">requirements; first, such a law </w:t>
      </w:r>
      <w:r w:rsidRPr="00811AE5">
        <w:rPr>
          <w:rFonts w:ascii="Times New Roman" w:eastAsia="Times New Roman" w:hAnsi="Times New Roman" w:cs="Times New Roman"/>
          <w:b/>
          <w:bCs/>
          <w:i/>
          <w:iCs/>
          <w:sz w:val="24"/>
          <w:szCs w:val="24"/>
          <w:u w:val="single"/>
          <w:lang w:val="en-GB"/>
        </w:rPr>
        <w:t>must be lawful in the sense that it is not arbitrary.</w:t>
      </w:r>
      <w:r w:rsidRPr="00811AE5">
        <w:rPr>
          <w:rFonts w:ascii="Times New Roman" w:eastAsia="Times New Roman" w:hAnsi="Times New Roman" w:cs="Times New Roman"/>
          <w:i/>
          <w:iCs/>
          <w:sz w:val="24"/>
          <w:szCs w:val="24"/>
          <w:lang w:val="en-GB"/>
        </w:rPr>
        <w:t xml:space="preserve"> It should make adequate safeguards against arbitrary decisions, and provide effective controls against abuse by those in authority when using the law. Secondly, the limitation imposed by such law must </w:t>
      </w:r>
      <w:r w:rsidRPr="00811AE5">
        <w:rPr>
          <w:rFonts w:ascii="Times New Roman" w:eastAsia="Times New Roman" w:hAnsi="Times New Roman" w:cs="Times New Roman"/>
          <w:b/>
          <w:bCs/>
          <w:i/>
          <w:iCs/>
          <w:sz w:val="24"/>
          <w:szCs w:val="24"/>
          <w:u w:val="single"/>
          <w:lang w:val="en-GB"/>
        </w:rPr>
        <w:t>not be [...] drafted too widely</w:t>
      </w:r>
      <w:r w:rsidRPr="00811AE5">
        <w:rPr>
          <w:rFonts w:ascii="Times New Roman" w:eastAsia="Times New Roman" w:hAnsi="Times New Roman" w:cs="Times New Roman"/>
          <w:i/>
          <w:iCs/>
          <w:sz w:val="24"/>
          <w:szCs w:val="24"/>
          <w:lang w:val="en-GB"/>
        </w:rPr>
        <w:t xml:space="preserve"> so as to meet everyone including even the untargeted members of the society.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35"/>
      </w:r>
    </w:p>
    <w:p w14:paraId="00000065"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ce qui concerne les infractions punies d’une peine d’emprisonnement en particulier, la </w:t>
      </w:r>
      <w:r>
        <w:rPr>
          <w:rFonts w:ascii="Times New Roman" w:eastAsia="Times New Roman" w:hAnsi="Times New Roman" w:cs="Times New Roman"/>
          <w:b/>
          <w:bCs/>
          <w:sz w:val="24"/>
          <w:szCs w:val="24"/>
          <w:highlight w:val="white"/>
        </w:rPr>
        <w:t>Cour suprême d’Inde</w:t>
      </w:r>
      <w:r>
        <w:rPr>
          <w:rFonts w:ascii="Times New Roman" w:eastAsia="Times New Roman" w:hAnsi="Times New Roman" w:cs="Times New Roman"/>
          <w:sz w:val="24"/>
          <w:szCs w:val="24"/>
          <w:highlight w:val="white"/>
        </w:rPr>
        <w:t xml:space="preserve"> se prononce dans l’arrêt </w:t>
      </w:r>
      <w:r>
        <w:rPr>
          <w:rFonts w:ascii="Times New Roman" w:eastAsia="Times New Roman" w:hAnsi="Times New Roman" w:cs="Times New Roman"/>
          <w:b/>
          <w:bCs/>
          <w:sz w:val="24"/>
          <w:szCs w:val="24"/>
          <w:highlight w:val="white"/>
        </w:rPr>
        <w:t>A. K. Roy, etc. c. Union de l’Inde</w:t>
      </w:r>
      <w:r>
        <w:rPr>
          <w:rFonts w:ascii="Times New Roman" w:eastAsia="Times New Roman" w:hAnsi="Times New Roman" w:cs="Times New Roman"/>
          <w:sz w:val="24"/>
          <w:szCs w:val="24"/>
          <w:highlight w:val="white"/>
        </w:rPr>
        <w:t xml:space="preserve"> : </w:t>
      </w:r>
    </w:p>
    <w:p w14:paraId="00000066" w14:textId="77777777" w:rsidR="00135230" w:rsidRDefault="00000000">
      <w:pPr>
        <w:spacing w:after="200"/>
        <w:jc w:val="both"/>
        <w:rPr>
          <w:rFonts w:ascii="Calibri" w:eastAsia="Calibri" w:hAnsi="Calibri" w:cs="Calibri"/>
          <w:highlight w:val="white"/>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 le principe fondamental est qu’une personne ne peut être privée de sa liberté sur le fondement d’une loi vague et incertaine. [...]</w:t>
      </w:r>
      <w:r w:rsidRPr="00811AE5">
        <w:rPr>
          <w:rFonts w:ascii="Times New Roman" w:eastAsia="Times New Roman" w:hAnsi="Times New Roman" w:cs="Times New Roman"/>
          <w:i/>
          <w:iCs/>
          <w:sz w:val="24"/>
          <w:szCs w:val="24"/>
          <w:highlight w:val="white"/>
          <w:lang w:val="en-GB"/>
        </w:rPr>
        <w:t xml:space="preserve">the fundamental principle is that </w:t>
      </w:r>
      <w:r w:rsidRPr="00811AE5">
        <w:rPr>
          <w:rFonts w:ascii="Times New Roman" w:eastAsia="Times New Roman" w:hAnsi="Times New Roman" w:cs="Times New Roman"/>
          <w:b/>
          <w:bCs/>
          <w:i/>
          <w:iCs/>
          <w:sz w:val="24"/>
          <w:szCs w:val="24"/>
          <w:highlight w:val="white"/>
          <w:u w:val="single"/>
          <w:lang w:val="en-GB"/>
        </w:rPr>
        <w:t>a person cannot be deprived of his liberty on the basis of a vague and uncertain law</w:t>
      </w:r>
      <w:r w:rsidRPr="00811AE5">
        <w:rPr>
          <w:rFonts w:ascii="Times New Roman" w:eastAsia="Times New Roman" w:hAnsi="Times New Roman" w:cs="Times New Roman"/>
          <w:i/>
          <w:iCs/>
          <w:sz w:val="24"/>
          <w:szCs w:val="24"/>
          <w:highlight w:val="white"/>
          <w:lang w:val="en-GB"/>
        </w:rPr>
        <w:t xml:space="preserve">. </w:t>
      </w:r>
      <w:r w:rsidRPr="00824F0F">
        <w:rPr>
          <w:rFonts w:ascii="Times New Roman" w:eastAsia="Times New Roman" w:hAnsi="Times New Roman" w:cs="Times New Roman"/>
          <w:i/>
          <w:iCs/>
          <w:sz w:val="24"/>
          <w:szCs w:val="24"/>
          <w:highlight w:val="white"/>
          <w:lang w:val="en-GB"/>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w:t>
      </w:r>
    </w:p>
    <w:p w14:paraId="00000067"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Quant aux lois punissant les actes </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d’indécence </w:t>
      </w:r>
      <w:r>
        <w:rPr>
          <w:rFonts w:ascii="Times New Roman" w:eastAsia="Times New Roman" w:hAnsi="Times New Roman" w:cs="Times New Roman"/>
          <w:sz w:val="24"/>
          <w:szCs w:val="24"/>
        </w:rPr>
        <w:t>»</w:t>
      </w:r>
      <w:r>
        <w:rPr>
          <w:rFonts w:ascii="Times New Roman" w:eastAsia="Times New Roman" w:hAnsi="Times New Roman" w:cs="Times New Roman"/>
          <w:sz w:val="24"/>
          <w:szCs w:val="24"/>
          <w:highlight w:val="white"/>
        </w:rPr>
        <w:t xml:space="preserve">, la </w:t>
      </w:r>
      <w:r>
        <w:rPr>
          <w:rFonts w:ascii="Times New Roman" w:eastAsia="Times New Roman" w:hAnsi="Times New Roman" w:cs="Times New Roman"/>
          <w:b/>
          <w:bCs/>
          <w:sz w:val="24"/>
          <w:szCs w:val="24"/>
          <w:highlight w:val="white"/>
        </w:rPr>
        <w:t xml:space="preserve">Cour suprême des </w:t>
      </w:r>
      <w:r>
        <w:rPr>
          <w:rFonts w:ascii="Times New Roman" w:eastAsia="Times New Roman" w:hAnsi="Times New Roman" w:cs="Times New Roman"/>
          <w:b/>
          <w:bCs/>
          <w:sz w:val="24"/>
          <w:szCs w:val="24"/>
        </w:rPr>
        <w:t>États-Unis</w:t>
      </w:r>
      <w:r>
        <w:rPr>
          <w:rFonts w:ascii="Times New Roman" w:eastAsia="Times New Roman" w:hAnsi="Times New Roman" w:cs="Times New Roman"/>
          <w:sz w:val="24"/>
          <w:szCs w:val="24"/>
        </w:rPr>
        <w:t xml:space="preserve"> énonçait sur l’imprécision du terme : </w:t>
      </w:r>
    </w:p>
    <w:p w14:paraId="00000068" w14:textId="77777777" w:rsidR="00135230" w:rsidRDefault="00000000">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b/>
          <w:bCs/>
          <w:i/>
          <w:iCs/>
          <w:sz w:val="24"/>
          <w:szCs w:val="24"/>
          <w:highlight w:val="white"/>
          <w:u w:val="single"/>
          <w:lang w:val="en-GB"/>
        </w:rPr>
        <w:t>Par exemple, l’usage des termes non définis « indécent » et « manifestement offensant » provoquera une incertitude chez les locuteurs</w:t>
      </w:r>
      <w:r w:rsidRPr="00811AE5">
        <w:rPr>
          <w:rFonts w:ascii="Times New Roman" w:eastAsia="Times New Roman" w:hAnsi="Times New Roman" w:cs="Times New Roman"/>
          <w:i/>
          <w:iCs/>
          <w:sz w:val="24"/>
          <w:szCs w:val="24"/>
          <w:highlight w:val="white"/>
          <w:lang w:val="en-GB"/>
        </w:rPr>
        <w:t xml:space="preserve"> quant à la manière dont les deux critères s’articulent et à ce qu’ils signifient exactement.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w:t>
      </w:r>
    </w:p>
    <w:p w14:paraId="00000069" w14:textId="77777777" w:rsidR="00135230" w:rsidRDefault="00135230">
      <w:pPr>
        <w:spacing w:after="200"/>
        <w:jc w:val="both"/>
        <w:rPr>
          <w:rFonts w:ascii="Times New Roman" w:eastAsia="Times New Roman" w:hAnsi="Times New Roman" w:cs="Times New Roman"/>
          <w:sz w:val="24"/>
          <w:szCs w:val="24"/>
        </w:rPr>
      </w:pPr>
    </w:p>
    <w:p w14:paraId="0000006A" w14:textId="466232C9" w:rsidR="00135230" w:rsidRDefault="00581DF8">
      <w:pPr>
        <w:numPr>
          <w:ilvl w:val="0"/>
          <w:numId w:val="6"/>
        </w:numPr>
        <w:spacing w:after="200"/>
        <w:jc w:val="both"/>
        <w:rPr>
          <w:b/>
          <w:bCs/>
          <w:sz w:val="26"/>
          <w:szCs w:val="26"/>
          <w:highlight w:val="white"/>
        </w:rPr>
      </w:pPr>
      <w:r>
        <w:rPr>
          <w:rFonts w:ascii="Times New Roman" w:eastAsia="Times New Roman" w:hAnsi="Times New Roman" w:cs="Times New Roman"/>
          <w:b/>
          <w:bCs/>
          <w:i/>
          <w:iCs/>
          <w:sz w:val="24"/>
          <w:szCs w:val="24"/>
          <w:highlight w:val="white"/>
          <w:u w:val="single"/>
        </w:rPr>
        <w:t>La</w:t>
      </w:r>
      <w:r w:rsidR="00000000">
        <w:rPr>
          <w:rFonts w:ascii="Times New Roman" w:eastAsia="Times New Roman" w:hAnsi="Times New Roman" w:cs="Times New Roman"/>
          <w:b/>
          <w:bCs/>
          <w:i/>
          <w:iCs/>
          <w:sz w:val="24"/>
          <w:szCs w:val="24"/>
          <w:highlight w:val="white"/>
          <w:u w:val="single"/>
        </w:rPr>
        <w:t xml:space="preserve"> jurisprudence </w:t>
      </w:r>
      <w:r>
        <w:rPr>
          <w:rFonts w:ascii="Times New Roman" w:eastAsia="Times New Roman" w:hAnsi="Times New Roman" w:cs="Times New Roman"/>
          <w:b/>
          <w:bCs/>
          <w:i/>
          <w:iCs/>
          <w:sz w:val="24"/>
          <w:szCs w:val="24"/>
          <w:highlight w:val="white"/>
          <w:u w:val="single"/>
        </w:rPr>
        <w:t>et</w:t>
      </w:r>
      <w:r w:rsidR="00000000">
        <w:rPr>
          <w:rFonts w:ascii="Times New Roman" w:eastAsia="Times New Roman" w:hAnsi="Times New Roman" w:cs="Times New Roman"/>
          <w:b/>
          <w:bCs/>
          <w:i/>
          <w:iCs/>
          <w:sz w:val="24"/>
          <w:szCs w:val="24"/>
          <w:highlight w:val="white"/>
          <w:u w:val="single"/>
        </w:rPr>
        <w:t xml:space="preserve"> la doctrine </w:t>
      </w:r>
      <w:r>
        <w:rPr>
          <w:rFonts w:ascii="Times New Roman" w:eastAsia="Times New Roman" w:hAnsi="Times New Roman" w:cs="Times New Roman"/>
          <w:b/>
          <w:bCs/>
          <w:i/>
          <w:iCs/>
          <w:sz w:val="24"/>
          <w:szCs w:val="24"/>
          <w:highlight w:val="white"/>
          <w:u w:val="single"/>
        </w:rPr>
        <w:t>pour interpréter le droit pénal vague</w:t>
      </w:r>
    </w:p>
    <w:p w14:paraId="0000006B" w14:textId="349A3B16" w:rsidR="00135230" w:rsidRDefault="00403261">
      <w:pPr>
        <w:spacing w:after="200"/>
        <w:jc w:val="both"/>
        <w:rPr>
          <w:rFonts w:ascii="Calibri" w:eastAsia="Calibri" w:hAnsi="Calibri" w:cs="Calibri"/>
          <w:b/>
          <w:bCs/>
          <w:color w:val="FF0000"/>
          <w:highlight w:val="white"/>
        </w:rPr>
      </w:pPr>
      <w:r>
        <w:rPr>
          <w:rFonts w:ascii="Times New Roman" w:eastAsia="Times New Roman" w:hAnsi="Times New Roman" w:cs="Times New Roman"/>
          <w:sz w:val="24"/>
          <w:szCs w:val="24"/>
          <w:highlight w:val="white"/>
        </w:rPr>
        <w:t>C</w:t>
      </w:r>
      <w:commentRangeStart w:id="0"/>
      <w:r>
        <w:rPr>
          <w:rFonts w:ascii="Times New Roman" w:eastAsia="Times New Roman" w:hAnsi="Times New Roman" w:cs="Times New Roman"/>
          <w:sz w:val="24"/>
          <w:szCs w:val="24"/>
          <w:highlight w:val="white"/>
        </w:rPr>
        <w:t xml:space="preserve">ertains </w:t>
      </w:r>
      <w:r>
        <w:rPr>
          <w:rFonts w:ascii="Times New Roman" w:eastAsia="Times New Roman" w:hAnsi="Times New Roman" w:cs="Times New Roman"/>
          <w:sz w:val="24"/>
          <w:szCs w:val="24"/>
        </w:rPr>
        <w:t xml:space="preserve">États invoquent l’éclairage apporté par des éléments extérieurs pour argumenter que le principe de </w:t>
      </w:r>
      <w:r w:rsidRPr="00403261">
        <w:rPr>
          <w:rFonts w:ascii="Times New Roman" w:eastAsia="Times New Roman" w:hAnsi="Times New Roman" w:cs="Times New Roman"/>
          <w:i/>
          <w:iCs/>
          <w:sz w:val="24"/>
          <w:szCs w:val="24"/>
        </w:rPr>
        <w:t>lex certa</w:t>
      </w:r>
      <w:r>
        <w:rPr>
          <w:rFonts w:ascii="Times New Roman" w:eastAsia="Times New Roman" w:hAnsi="Times New Roman" w:cs="Times New Roman"/>
          <w:sz w:val="24"/>
          <w:szCs w:val="24"/>
        </w:rPr>
        <w:t xml:space="preserve"> n’est pas violé</w:t>
      </w:r>
      <w:r w:rsidR="00111F02">
        <w:rPr>
          <w:rFonts w:ascii="Times New Roman" w:eastAsia="Times New Roman" w:hAnsi="Times New Roman" w:cs="Times New Roman"/>
          <w:sz w:val="24"/>
          <w:szCs w:val="24"/>
        </w:rPr>
        <w:t>, notamment la jurisprudence et la doctrine</w:t>
      </w:r>
      <w:r>
        <w:rPr>
          <w:rFonts w:ascii="Times New Roman" w:eastAsia="Times New Roman" w:hAnsi="Times New Roman" w:cs="Times New Roman"/>
          <w:sz w:val="24"/>
          <w:szCs w:val="24"/>
        </w:rPr>
        <w:t xml:space="preserve">. </w:t>
      </w:r>
      <w:commentRangeEnd w:id="0"/>
      <w:r>
        <w:rPr>
          <w:rStyle w:val="Marquedecommentaire"/>
          <w:rFonts w:ascii="Calibri" w:eastAsia="Calibri" w:hAnsi="Calibri" w:cs="Calibri"/>
          <w:b/>
          <w:bCs/>
          <w:color w:val="FF0000"/>
          <w:sz w:val="22"/>
          <w:szCs w:val="22"/>
          <w:highlight w:val="white"/>
        </w:rPr>
        <w:commentReference w:id="0"/>
      </w:r>
    </w:p>
    <w:p w14:paraId="0000006C" w14:textId="5E537764" w:rsidR="00135230" w:rsidRDefault="00000000">
      <w:pPr>
        <w:numPr>
          <w:ilvl w:val="0"/>
          <w:numId w:val="7"/>
        </w:numPr>
        <w:spacing w:after="200"/>
        <w:jc w:val="both"/>
        <w:rPr>
          <w:sz w:val="26"/>
          <w:szCs w:val="26"/>
          <w:highlight w:val="white"/>
        </w:rPr>
      </w:pPr>
      <w:r>
        <w:rPr>
          <w:rFonts w:ascii="Times New Roman" w:eastAsia="Times New Roman" w:hAnsi="Times New Roman" w:cs="Times New Roman"/>
          <w:i/>
          <w:iCs/>
          <w:sz w:val="24"/>
          <w:szCs w:val="24"/>
          <w:highlight w:val="white"/>
          <w:u w:val="single"/>
        </w:rPr>
        <w:t>L’éclairage par la jurisprudence</w:t>
      </w:r>
    </w:p>
    <w:p w14:paraId="0000006D" w14:textId="77777777" w:rsidR="00135230" w:rsidRPr="0058563D" w:rsidRDefault="00000000">
      <w:pPr>
        <w:spacing w:after="200"/>
        <w:rPr>
          <w:rFonts w:ascii="Times New Roman" w:eastAsia="Times New Roman" w:hAnsi="Times New Roman" w:cs="Times New Roman"/>
          <w:sz w:val="24"/>
          <w:szCs w:val="24"/>
        </w:rPr>
      </w:pPr>
      <w:r w:rsidRPr="0058563D">
        <w:rPr>
          <w:rFonts w:ascii="Times New Roman" w:eastAsia="Times New Roman" w:hAnsi="Times New Roman" w:cs="Times New Roman"/>
          <w:sz w:val="24"/>
          <w:szCs w:val="24"/>
        </w:rPr>
        <w:t xml:space="preserve">La </w:t>
      </w:r>
      <w:r w:rsidRPr="0058563D">
        <w:rPr>
          <w:rFonts w:ascii="Times New Roman" w:eastAsia="Times New Roman" w:hAnsi="Times New Roman" w:cs="Times New Roman"/>
          <w:b/>
          <w:bCs/>
          <w:sz w:val="24"/>
          <w:szCs w:val="24"/>
        </w:rPr>
        <w:t>Cour européenne des droits de l’Homme</w:t>
      </w:r>
      <w:r w:rsidRPr="0058563D">
        <w:rPr>
          <w:rFonts w:ascii="Times New Roman" w:eastAsia="Times New Roman" w:hAnsi="Times New Roman" w:cs="Times New Roman"/>
          <w:sz w:val="24"/>
          <w:szCs w:val="24"/>
        </w:rPr>
        <w:t xml:space="preserve"> en 1995 a reconnu que la jurisprudence pourrait combler une disposition pénale imprécise de sorte à ce que l’obligation de </w:t>
      </w:r>
      <w:r w:rsidRPr="0058563D">
        <w:rPr>
          <w:rFonts w:ascii="Times New Roman" w:eastAsia="Times New Roman" w:hAnsi="Times New Roman" w:cs="Times New Roman"/>
          <w:i/>
          <w:iCs/>
          <w:sz w:val="24"/>
          <w:szCs w:val="24"/>
        </w:rPr>
        <w:t xml:space="preserve">lex certa </w:t>
      </w:r>
      <w:r w:rsidRPr="0058563D">
        <w:rPr>
          <w:rFonts w:ascii="Times New Roman" w:eastAsia="Times New Roman" w:hAnsi="Times New Roman" w:cs="Times New Roman"/>
          <w:sz w:val="24"/>
          <w:szCs w:val="24"/>
        </w:rPr>
        <w:t xml:space="preserve">soir finalement remplie. : </w:t>
      </w:r>
    </w:p>
    <w:p w14:paraId="0000006E" w14:textId="6344D422" w:rsidR="00135230" w:rsidRPr="0058563D" w:rsidRDefault="00000000">
      <w:pPr>
        <w:spacing w:after="200"/>
        <w:jc w:val="both"/>
        <w:rPr>
          <w:rFonts w:ascii="Calibri" w:eastAsia="Calibri" w:hAnsi="Calibri" w:cs="Calibri"/>
        </w:rPr>
      </w:pPr>
      <w:r w:rsidRPr="0058563D">
        <w:rPr>
          <w:rFonts w:ascii="Times New Roman" w:eastAsia="Times New Roman" w:hAnsi="Times New Roman" w:cs="Times New Roman"/>
          <w:sz w:val="24"/>
          <w:szCs w:val="24"/>
        </w:rPr>
        <w:t>«</w:t>
      </w:r>
      <w:r w:rsidRPr="0058563D">
        <w:rPr>
          <w:rFonts w:ascii="Times New Roman" w:eastAsia="Times New Roman" w:hAnsi="Times New Roman" w:cs="Times New Roman"/>
          <w:i/>
          <w:iCs/>
          <w:sz w:val="24"/>
          <w:szCs w:val="24"/>
        </w:rPr>
        <w:t xml:space="preserve"> Aussi clair que le libellé d’une disposition légale puisse être, dans quelque système juridique que ce soit, y compris le droit pénal, il existe immanquablement un élément d’interprétation judiciaire. Il faudra toujours élucider les points douteux et s’adapter aux changements de </w:t>
      </w:r>
      <w:r w:rsidRPr="0058563D">
        <w:rPr>
          <w:rFonts w:ascii="Times New Roman" w:eastAsia="Times New Roman" w:hAnsi="Times New Roman" w:cs="Times New Roman"/>
          <w:i/>
          <w:iCs/>
          <w:sz w:val="24"/>
          <w:szCs w:val="24"/>
        </w:rPr>
        <w:lastRenderedPageBreak/>
        <w:t xml:space="preserve">situation [...] On ne saurait interpréter l’article 7 (art. 7) de la Convention comme proscrivant la clarification graduelle des règles de la responsabilité pénale par l’interprétation judiciaire d’une affaire à l’autre, </w:t>
      </w:r>
      <w:r w:rsidRPr="0058563D">
        <w:rPr>
          <w:rFonts w:ascii="Times New Roman" w:eastAsia="Times New Roman" w:hAnsi="Times New Roman" w:cs="Times New Roman"/>
          <w:b/>
          <w:bCs/>
          <w:i/>
          <w:iCs/>
          <w:sz w:val="24"/>
          <w:szCs w:val="24"/>
          <w:u w:val="single"/>
        </w:rPr>
        <w:t>à condition que le résultat soit cohérent avec la substance de l’infraction et raisonnablement prévisible</w:t>
      </w:r>
      <w:r w:rsidRPr="0058563D">
        <w:rPr>
          <w:rFonts w:ascii="Times New Roman" w:eastAsia="Times New Roman" w:hAnsi="Times New Roman" w:cs="Times New Roman"/>
          <w:i/>
          <w:iCs/>
          <w:sz w:val="24"/>
          <w:szCs w:val="24"/>
        </w:rPr>
        <w:t xml:space="preserve">. </w:t>
      </w:r>
      <w:r w:rsidRPr="0058563D">
        <w:rPr>
          <w:rFonts w:ascii="Times New Roman" w:eastAsia="Times New Roman" w:hAnsi="Times New Roman" w:cs="Times New Roman"/>
          <w:sz w:val="24"/>
          <w:szCs w:val="24"/>
        </w:rPr>
        <w:t>»</w:t>
      </w:r>
      <w:r w:rsidRPr="0058563D">
        <w:rPr>
          <w:rFonts w:ascii="Times New Roman" w:eastAsia="Times New Roman" w:hAnsi="Times New Roman" w:cs="Times New Roman"/>
          <w:sz w:val="24"/>
          <w:szCs w:val="24"/>
          <w:vertAlign w:val="superscript"/>
        </w:rPr>
        <w:footnoteReference w:id="38"/>
      </w:r>
    </w:p>
    <w:p w14:paraId="0000006F" w14:textId="77777777" w:rsidR="00135230" w:rsidRPr="0058563D" w:rsidRDefault="00000000">
      <w:pPr>
        <w:spacing w:after="200"/>
        <w:jc w:val="both"/>
        <w:rPr>
          <w:rFonts w:ascii="Times New Roman" w:eastAsia="Times New Roman" w:hAnsi="Times New Roman" w:cs="Times New Roman"/>
          <w:sz w:val="24"/>
          <w:szCs w:val="24"/>
        </w:rPr>
      </w:pPr>
      <w:r w:rsidRPr="0058563D">
        <w:rPr>
          <w:rFonts w:ascii="Times New Roman" w:eastAsia="Times New Roman" w:hAnsi="Times New Roman" w:cs="Times New Roman"/>
          <w:sz w:val="24"/>
          <w:szCs w:val="24"/>
        </w:rPr>
        <w:t xml:space="preserve">Cet argument a été également invoqué par un certain nombre de cours et de tribunaux nationaux sur le continent africain. </w:t>
      </w:r>
    </w:p>
    <w:p w14:paraId="00000070" w14:textId="77777777" w:rsidR="00135230" w:rsidRPr="0058563D" w:rsidRDefault="00000000">
      <w:pPr>
        <w:spacing w:after="200"/>
        <w:jc w:val="both"/>
        <w:rPr>
          <w:rFonts w:ascii="Times New Roman" w:eastAsia="Times New Roman" w:hAnsi="Times New Roman" w:cs="Times New Roman"/>
          <w:sz w:val="24"/>
          <w:szCs w:val="24"/>
        </w:rPr>
      </w:pPr>
      <w:r w:rsidRPr="0058563D">
        <w:rPr>
          <w:rFonts w:ascii="Times New Roman" w:eastAsia="Times New Roman" w:hAnsi="Times New Roman" w:cs="Times New Roman"/>
          <w:sz w:val="24"/>
          <w:szCs w:val="24"/>
        </w:rPr>
        <w:t xml:space="preserve">Selon la </w:t>
      </w:r>
      <w:r w:rsidRPr="0058563D">
        <w:rPr>
          <w:rFonts w:ascii="Times New Roman" w:eastAsia="Times New Roman" w:hAnsi="Times New Roman" w:cs="Times New Roman"/>
          <w:b/>
          <w:bCs/>
          <w:sz w:val="24"/>
          <w:szCs w:val="24"/>
        </w:rPr>
        <w:t>Cour suprême d’Ouganda</w:t>
      </w:r>
      <w:r w:rsidRPr="0058563D">
        <w:rPr>
          <w:rFonts w:ascii="Times New Roman" w:eastAsia="Times New Roman" w:hAnsi="Times New Roman" w:cs="Times New Roman"/>
          <w:sz w:val="24"/>
          <w:szCs w:val="24"/>
        </w:rPr>
        <w:t xml:space="preserve"> :</w:t>
      </w:r>
    </w:p>
    <w:p w14:paraId="00000071" w14:textId="628B03E7" w:rsidR="00135230" w:rsidRPr="00811AE5" w:rsidRDefault="00000000">
      <w:pPr>
        <w:spacing w:after="200"/>
        <w:jc w:val="both"/>
        <w:rPr>
          <w:rFonts w:ascii="Calibri" w:eastAsia="Calibri" w:hAnsi="Calibri" w:cs="Calibri"/>
          <w:lang w:val="en-GB"/>
        </w:rPr>
      </w:pPr>
      <w:sdt>
        <w:sdtPr>
          <w:tag w:val="goog_rdk_3"/>
          <w:id w:val="1460493181"/>
        </w:sdtPr>
        <w:sdtContent>
          <w:commentRangeStart w:id="1"/>
        </w:sdtContent>
      </w:sdt>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b/>
          <w:bCs/>
          <w:i/>
          <w:iCs/>
          <w:sz w:val="24"/>
          <w:szCs w:val="24"/>
          <w:u w:val="single"/>
          <w:lang w:val="en-GB"/>
        </w:rPr>
        <w:t>Il est tout à fait clair que l’article 28(12) de la Constitution exige qu’une infraction pénale soit définie par la loi. Il n’exige pas que chaque mot utilisé dans la loi soit défini</w:t>
      </w:r>
      <w:r w:rsidRPr="00811AE5">
        <w:rPr>
          <w:rFonts w:ascii="Times New Roman" w:eastAsia="Times New Roman" w:hAnsi="Times New Roman" w:cs="Times New Roman"/>
          <w:i/>
          <w:iCs/>
          <w:sz w:val="24"/>
          <w:szCs w:val="24"/>
          <w:lang w:val="en-GB"/>
        </w:rPr>
        <w:t xml:space="preserve">. Il n’exige pas non plus que l’infraction soit définie dans la disposition qui crée l’infraction [...]. Ce qui est exigé est d’expliciter les mots utilisés. </w:t>
      </w:r>
      <w:r w:rsidRPr="00811AE5">
        <w:rPr>
          <w:rFonts w:ascii="Times New Roman" w:eastAsia="Times New Roman" w:hAnsi="Times New Roman" w:cs="Times New Roman"/>
          <w:b/>
          <w:bCs/>
          <w:i/>
          <w:iCs/>
          <w:sz w:val="24"/>
          <w:szCs w:val="24"/>
          <w:u w:val="single"/>
          <w:lang w:val="en-GB"/>
        </w:rPr>
        <w:t>Si le sens n’est pas évident, la juridiction a le devoir d’interpréter les mots afin de donner effet aux objectifs du législateur et de rendre justice aux parties</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r w:rsidRPr="0058563D">
        <w:rPr>
          <w:rFonts w:ascii="Times New Roman" w:eastAsia="Times New Roman" w:hAnsi="Times New Roman" w:cs="Times New Roman"/>
          <w:sz w:val="24"/>
          <w:szCs w:val="24"/>
          <w:vertAlign w:val="superscript"/>
        </w:rPr>
        <w:footnoteReference w:id="39"/>
      </w:r>
    </w:p>
    <w:p w14:paraId="00000072" w14:textId="77777777" w:rsidR="00135230" w:rsidRPr="0058563D" w:rsidRDefault="00000000">
      <w:pPr>
        <w:spacing w:after="200"/>
        <w:jc w:val="both"/>
        <w:rPr>
          <w:rFonts w:ascii="Times New Roman" w:eastAsia="Times New Roman" w:hAnsi="Times New Roman" w:cs="Times New Roman"/>
          <w:sz w:val="24"/>
          <w:szCs w:val="24"/>
        </w:rPr>
      </w:pPr>
      <w:r w:rsidRPr="0058563D">
        <w:rPr>
          <w:rFonts w:ascii="Times New Roman" w:eastAsia="Times New Roman" w:hAnsi="Times New Roman" w:cs="Times New Roman"/>
          <w:sz w:val="24"/>
          <w:szCs w:val="24"/>
        </w:rPr>
        <w:t xml:space="preserve">De même, d’après la </w:t>
      </w:r>
      <w:r w:rsidRPr="0058563D">
        <w:rPr>
          <w:rFonts w:ascii="Times New Roman" w:eastAsia="Times New Roman" w:hAnsi="Times New Roman" w:cs="Times New Roman"/>
          <w:b/>
          <w:bCs/>
          <w:sz w:val="24"/>
          <w:szCs w:val="24"/>
        </w:rPr>
        <w:t>Haute Cour du Kenya</w:t>
      </w:r>
      <w:r w:rsidRPr="0058563D">
        <w:rPr>
          <w:rFonts w:ascii="Times New Roman" w:eastAsia="Times New Roman" w:hAnsi="Times New Roman" w:cs="Times New Roman"/>
          <w:sz w:val="24"/>
          <w:szCs w:val="24"/>
        </w:rPr>
        <w:t xml:space="preserve"> : </w:t>
      </w:r>
    </w:p>
    <w:p w14:paraId="00000073" w14:textId="7B6906A5" w:rsidR="00135230" w:rsidRPr="00811AE5" w:rsidRDefault="00000000">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Après avoir établi que </w:t>
      </w:r>
      <w:r w:rsidRPr="00811AE5">
        <w:rPr>
          <w:rFonts w:ascii="Times New Roman" w:eastAsia="Times New Roman" w:hAnsi="Times New Roman" w:cs="Times New Roman"/>
          <w:b/>
          <w:bCs/>
          <w:i/>
          <w:iCs/>
          <w:sz w:val="24"/>
          <w:szCs w:val="24"/>
          <w:u w:val="single"/>
          <w:lang w:val="en-GB"/>
        </w:rPr>
        <w:t>les expressions contestées ont été clairement définies dans les dictionnaires juridiques et dans une série de décisions judiciaires, nous sommes d’avis que l’absence de définitions dans la loi elle-même ne rend pas, en soi, les dispositions contestées vagues, ambiguës ou incertaines</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w:t>
      </w:r>
      <w:r w:rsidRPr="0058563D">
        <w:rPr>
          <w:rFonts w:ascii="Times New Roman" w:eastAsia="Times New Roman" w:hAnsi="Times New Roman" w:cs="Times New Roman"/>
          <w:sz w:val="24"/>
          <w:szCs w:val="24"/>
          <w:vertAlign w:val="superscript"/>
        </w:rPr>
        <w:footnoteReference w:id="40"/>
      </w:r>
      <w:commentRangeEnd w:id="1"/>
      <w:r w:rsidRPr="00811AE5">
        <w:rPr>
          <w:rStyle w:val="Marquedecommentaire"/>
          <w:rFonts w:ascii="Times New Roman" w:eastAsia="Times New Roman" w:hAnsi="Times New Roman" w:cs="Times New Roman"/>
          <w:sz w:val="24"/>
          <w:szCs w:val="24"/>
          <w:lang w:val="en-GB"/>
        </w:rPr>
        <w:commentReference w:id="1"/>
      </w:r>
    </w:p>
    <w:p w14:paraId="00000074" w14:textId="407DE9F0" w:rsidR="00135230" w:rsidRDefault="00000000">
      <w:pPr>
        <w:spacing w:after="200"/>
        <w:jc w:val="both"/>
        <w:rPr>
          <w:rFonts w:ascii="Times New Roman" w:eastAsia="Times New Roman" w:hAnsi="Times New Roman" w:cs="Times New Roman"/>
          <w:sz w:val="24"/>
          <w:szCs w:val="24"/>
          <w:highlight w:val="yellow"/>
        </w:rPr>
      </w:pPr>
      <w:commentRangeStart w:id="2"/>
      <w:r>
        <w:rPr>
          <w:rFonts w:ascii="Times New Roman" w:eastAsia="Times New Roman" w:hAnsi="Times New Roman" w:cs="Times New Roman"/>
          <w:sz w:val="24"/>
          <w:szCs w:val="24"/>
          <w:highlight w:val="yellow"/>
        </w:rPr>
        <w:t xml:space="preserve">En l’occurrence, de telles jurisprudences existent en matière de pénalisation de l’homosexualité, comme le démontrent les arrêts </w:t>
      </w:r>
      <w:r>
        <w:rPr>
          <w:rFonts w:ascii="Times New Roman" w:eastAsia="Times New Roman" w:hAnsi="Times New Roman" w:cs="Times New Roman"/>
          <w:b/>
          <w:bCs/>
          <w:sz w:val="24"/>
          <w:szCs w:val="24"/>
          <w:highlight w:val="yellow"/>
        </w:rPr>
        <w:t>Gaolete c. État</w:t>
      </w:r>
      <w:r>
        <w:rPr>
          <w:rFonts w:ascii="Times New Roman" w:eastAsia="Times New Roman" w:hAnsi="Times New Roman" w:cs="Times New Roman"/>
          <w:sz w:val="24"/>
          <w:szCs w:val="24"/>
          <w:highlight w:val="yellow"/>
          <w:vertAlign w:val="superscript"/>
        </w:rPr>
        <w:footnoteReference w:id="41"/>
      </w:r>
      <w:r>
        <w:rPr>
          <w:rFonts w:ascii="Times New Roman" w:eastAsia="Times New Roman" w:hAnsi="Times New Roman" w:cs="Times New Roman"/>
          <w:sz w:val="24"/>
          <w:szCs w:val="24"/>
          <w:highlight w:val="yellow"/>
        </w:rPr>
        <w:t xml:space="preserve"> de la </w:t>
      </w:r>
      <w:r>
        <w:rPr>
          <w:rFonts w:ascii="Times New Roman" w:eastAsia="Times New Roman" w:hAnsi="Times New Roman" w:cs="Times New Roman"/>
          <w:b/>
          <w:bCs/>
          <w:sz w:val="24"/>
          <w:szCs w:val="24"/>
          <w:highlight w:val="yellow"/>
        </w:rPr>
        <w:t>Haute Cour du Botswana</w:t>
      </w:r>
      <w:r>
        <w:rPr>
          <w:rFonts w:ascii="Times New Roman" w:eastAsia="Times New Roman" w:hAnsi="Times New Roman" w:cs="Times New Roman"/>
          <w:sz w:val="24"/>
          <w:szCs w:val="24"/>
          <w:highlight w:val="yellow"/>
        </w:rPr>
        <w:t xml:space="preserve"> et </w:t>
      </w:r>
      <w:r>
        <w:rPr>
          <w:rFonts w:ascii="Times New Roman" w:eastAsia="Times New Roman" w:hAnsi="Times New Roman" w:cs="Times New Roman"/>
          <w:b/>
          <w:bCs/>
          <w:sz w:val="24"/>
          <w:szCs w:val="24"/>
          <w:highlight w:val="yellow"/>
        </w:rPr>
        <w:t>John Onzere Kambi c. République</w:t>
      </w:r>
      <w:r>
        <w:rPr>
          <w:rFonts w:ascii="Times New Roman" w:eastAsia="Times New Roman" w:hAnsi="Times New Roman" w:cs="Times New Roman"/>
          <w:sz w:val="24"/>
          <w:szCs w:val="24"/>
          <w:highlight w:val="yellow"/>
          <w:vertAlign w:val="superscript"/>
        </w:rPr>
        <w:footnoteReference w:id="42"/>
      </w:r>
      <w:r>
        <w:rPr>
          <w:rFonts w:ascii="Times New Roman" w:eastAsia="Times New Roman" w:hAnsi="Times New Roman" w:cs="Times New Roman"/>
          <w:sz w:val="24"/>
          <w:szCs w:val="24"/>
          <w:highlight w:val="yellow"/>
        </w:rPr>
        <w:t xml:space="preserve"> de la </w:t>
      </w:r>
      <w:r>
        <w:rPr>
          <w:rFonts w:ascii="Times New Roman" w:eastAsia="Times New Roman" w:hAnsi="Times New Roman" w:cs="Times New Roman"/>
          <w:b/>
          <w:bCs/>
          <w:sz w:val="24"/>
          <w:szCs w:val="24"/>
          <w:highlight w:val="yellow"/>
        </w:rPr>
        <w:t>Haute Cour du Kenya</w:t>
      </w:r>
      <w:r>
        <w:rPr>
          <w:rFonts w:ascii="Times New Roman" w:eastAsia="Times New Roman" w:hAnsi="Times New Roman" w:cs="Times New Roman"/>
          <w:sz w:val="24"/>
          <w:szCs w:val="24"/>
          <w:highlight w:val="yellow"/>
        </w:rPr>
        <w:t xml:space="preserve">, lesquels définissent l’expression « connaissance charnelle » comme un acte impliquant la pénétration. </w:t>
      </w:r>
      <w:commentRangeEnd w:id="2"/>
      <w:r w:rsidR="0058563D">
        <w:rPr>
          <w:rStyle w:val="Marquedecommentaire"/>
          <w:rFonts w:ascii="Times New Roman" w:eastAsia="Times New Roman" w:hAnsi="Times New Roman" w:cs="Times New Roman"/>
          <w:sz w:val="24"/>
          <w:szCs w:val="24"/>
          <w:highlight w:val="yellow"/>
        </w:rPr>
        <w:commentReference w:id="2"/>
      </w:r>
    </w:p>
    <w:p w14:paraId="513A0C18" w14:textId="487F1D45" w:rsidR="00777850" w:rsidRPr="00777850" w:rsidRDefault="00777850" w:rsidP="00777850">
      <w:pPr>
        <w:spacing w:after="200"/>
        <w:jc w:val="both"/>
        <w:rPr>
          <w:rFonts w:ascii="Times New Roman" w:eastAsia="Times New Roman" w:hAnsi="Times New Roman" w:cs="Times New Roman"/>
          <w:sz w:val="24"/>
          <w:szCs w:val="24"/>
          <w:lang w:val="fr-FR"/>
        </w:rPr>
      </w:pPr>
      <w:r w:rsidRPr="00777850">
        <w:rPr>
          <w:rFonts w:ascii="Times New Roman" w:eastAsia="Times New Roman" w:hAnsi="Times New Roman" w:cs="Times New Roman"/>
          <w:sz w:val="24"/>
          <w:szCs w:val="24"/>
          <w:lang w:val="fr-FR"/>
        </w:rPr>
        <w:t xml:space="preserve">Cette défense présente toutefois plusieurs limites. D’abord, même lorsqu’une juridiction tente de préciser une notion vague comme </w:t>
      </w:r>
      <w:r w:rsidR="00FF03F7">
        <w:rPr>
          <w:rFonts w:ascii="Times New Roman" w:eastAsia="Times New Roman" w:hAnsi="Times New Roman" w:cs="Times New Roman"/>
          <w:sz w:val="24"/>
          <w:szCs w:val="24"/>
          <w:lang w:val="fr-FR"/>
        </w:rPr>
        <w:t>« </w:t>
      </w:r>
      <w:r w:rsidRPr="00777850">
        <w:rPr>
          <w:rFonts w:ascii="Times New Roman" w:eastAsia="Times New Roman" w:hAnsi="Times New Roman" w:cs="Times New Roman"/>
          <w:sz w:val="24"/>
          <w:szCs w:val="24"/>
          <w:lang w:val="fr-FR"/>
        </w:rPr>
        <w:t>connaissance charnelle</w:t>
      </w:r>
      <w:r w:rsidR="00FF03F7">
        <w:rPr>
          <w:rFonts w:ascii="Times New Roman" w:eastAsia="Times New Roman" w:hAnsi="Times New Roman" w:cs="Times New Roman"/>
          <w:sz w:val="24"/>
          <w:szCs w:val="24"/>
          <w:lang w:val="fr-FR"/>
        </w:rPr>
        <w:t> »</w:t>
      </w:r>
      <w:r w:rsidRPr="00777850">
        <w:rPr>
          <w:rFonts w:ascii="Times New Roman" w:eastAsia="Times New Roman" w:hAnsi="Times New Roman" w:cs="Times New Roman"/>
          <w:sz w:val="24"/>
          <w:szCs w:val="24"/>
          <w:lang w:val="fr-FR"/>
        </w:rPr>
        <w:t>, les termes utilisés par de nombreuses législations demeurent insuffisamment clairs pour permettre aux individus de savoir à l’avance quels comportements sont effectivement pénalisés. Une relation sexuelle n’implique pas nécessairement une pénétration, de sorte qu’il subsiste une incertitude quant aux actes réellement visés par l’incrimination. Cette imprécision rend également difficile de déterminer si certains gestes d’affection ou manifestations de proximité tels qu’un baiser, le fait de se tenir la main ou de s’enlacer sont susceptibles d’être interprétés comme relevant du champ de l’infraction.</w:t>
      </w:r>
    </w:p>
    <w:p w14:paraId="3AEEE4BD" w14:textId="3061821C" w:rsidR="00777850" w:rsidRPr="00777850" w:rsidRDefault="00777850" w:rsidP="00777850">
      <w:pPr>
        <w:spacing w:after="200"/>
        <w:jc w:val="both"/>
        <w:rPr>
          <w:rFonts w:ascii="Times New Roman" w:eastAsia="Times New Roman" w:hAnsi="Times New Roman" w:cs="Times New Roman"/>
          <w:sz w:val="24"/>
          <w:szCs w:val="24"/>
          <w:lang w:val="fr-FR"/>
        </w:rPr>
      </w:pPr>
      <w:r w:rsidRPr="00777850">
        <w:rPr>
          <w:rFonts w:ascii="Times New Roman" w:eastAsia="Times New Roman" w:hAnsi="Times New Roman" w:cs="Times New Roman"/>
          <w:sz w:val="24"/>
          <w:szCs w:val="24"/>
          <w:lang w:val="fr-FR"/>
        </w:rPr>
        <w:t xml:space="preserve">Ensuite, si l’on considère que l’expression </w:t>
      </w:r>
      <w:r w:rsidR="00927482">
        <w:rPr>
          <w:rFonts w:ascii="Times New Roman" w:eastAsia="Times New Roman" w:hAnsi="Times New Roman" w:cs="Times New Roman"/>
          <w:sz w:val="24"/>
          <w:szCs w:val="24"/>
          <w:lang w:val="fr-FR"/>
        </w:rPr>
        <w:t>« </w:t>
      </w:r>
      <w:r w:rsidRPr="00927482">
        <w:rPr>
          <w:rFonts w:ascii="Times New Roman" w:eastAsia="Times New Roman" w:hAnsi="Times New Roman" w:cs="Times New Roman"/>
          <w:sz w:val="24"/>
          <w:szCs w:val="24"/>
          <w:lang w:val="fr-FR"/>
        </w:rPr>
        <w:t>connaissance charnelle</w:t>
      </w:r>
      <w:r w:rsidR="00927482">
        <w:rPr>
          <w:rFonts w:ascii="Times New Roman" w:eastAsia="Times New Roman" w:hAnsi="Times New Roman" w:cs="Times New Roman"/>
          <w:i/>
          <w:iCs/>
          <w:sz w:val="24"/>
          <w:szCs w:val="24"/>
          <w:lang w:val="fr-FR"/>
        </w:rPr>
        <w:t> »</w:t>
      </w:r>
      <w:r w:rsidRPr="00777850">
        <w:rPr>
          <w:rFonts w:ascii="Times New Roman" w:eastAsia="Times New Roman" w:hAnsi="Times New Roman" w:cs="Times New Roman"/>
          <w:sz w:val="24"/>
          <w:szCs w:val="24"/>
          <w:lang w:val="fr-FR"/>
        </w:rPr>
        <w:t xml:space="preserve"> et d’autres formulations similaires ne visent que les actes impliquant une pénétration, des difficultés probatoires importantes apparaissent. Une relation sexuelle entre deux adultes de même sexe peut </w:t>
      </w:r>
      <w:r w:rsidRPr="00777850">
        <w:rPr>
          <w:rFonts w:ascii="Times New Roman" w:eastAsia="Times New Roman" w:hAnsi="Times New Roman" w:cs="Times New Roman"/>
          <w:sz w:val="24"/>
          <w:szCs w:val="24"/>
          <w:lang w:val="fr-FR"/>
        </w:rPr>
        <w:lastRenderedPageBreak/>
        <w:t>parfaitement avoir lieu sans pénétration. Dans ce contexte, limiter l’infraction aux seuls actes pénétratifs réduit considérablement les possibilités de preuve directe et renforce le risque que les autorités s’appuient sur des présomptions, des stéréotypes ou des éléments indirects pour établir la culpabilité, ce qui soulève à nouveau des préoccupations au regard de la légalité pénale et de la sécurité juridique.</w:t>
      </w:r>
    </w:p>
    <w:p w14:paraId="3A08CF3E" w14:textId="77777777" w:rsidR="00836FFE" w:rsidRPr="00E45657" w:rsidRDefault="00836FFE" w:rsidP="00E45657">
      <w:pPr>
        <w:spacing w:after="200"/>
        <w:jc w:val="both"/>
        <w:rPr>
          <w:rFonts w:ascii="Times New Roman" w:eastAsia="Times New Roman" w:hAnsi="Times New Roman" w:cs="Times New Roman"/>
          <w:sz w:val="24"/>
          <w:szCs w:val="24"/>
        </w:rPr>
      </w:pPr>
    </w:p>
    <w:p w14:paraId="0000007B" w14:textId="77777777" w:rsidR="00135230" w:rsidRDefault="00000000">
      <w:pPr>
        <w:numPr>
          <w:ilvl w:val="0"/>
          <w:numId w:val="7"/>
        </w:numPr>
        <w:spacing w:after="20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Les contre-arguments pouvant être invoqués par les défenseurs des droits LGBTQ+</w:t>
      </w:r>
    </w:p>
    <w:p w14:paraId="0000007C" w14:textId="77777777" w:rsidR="00135230" w:rsidRPr="00E42DEC" w:rsidRDefault="00000000">
      <w:pPr>
        <w:spacing w:after="200"/>
        <w:jc w:val="both"/>
        <w:rPr>
          <w:rFonts w:ascii="Times New Roman" w:eastAsia="Times New Roman" w:hAnsi="Times New Roman" w:cs="Times New Roman"/>
          <w:sz w:val="24"/>
          <w:szCs w:val="24"/>
        </w:rPr>
      </w:pPr>
      <w:r w:rsidRPr="00E42DEC">
        <w:rPr>
          <w:rFonts w:ascii="Times New Roman" w:eastAsia="Times New Roman" w:hAnsi="Times New Roman" w:cs="Times New Roman"/>
          <w:sz w:val="24"/>
          <w:szCs w:val="24"/>
        </w:rPr>
        <w:t>La jurisprudence doit répondre aux mêmes exigences en termes de qualité de la loi pour combler cette lacune</w:t>
      </w:r>
      <w:sdt>
        <w:sdtPr>
          <w:tag w:val="goog_rdk_4"/>
          <w:id w:val="-735126038"/>
        </w:sdtPr>
        <w:sdtContent>
          <w:commentRangeStart w:id="3"/>
        </w:sdtContent>
      </w:sdt>
      <w:sdt>
        <w:sdtPr>
          <w:tag w:val="goog_rdk_5"/>
          <w:id w:val="574958764"/>
        </w:sdtPr>
        <w:sdtContent>
          <w:commentRangeStart w:id="4"/>
        </w:sdtContent>
      </w:sdt>
      <w:r w:rsidRPr="00E42DEC">
        <w:rPr>
          <w:rFonts w:ascii="Times New Roman" w:eastAsia="Times New Roman" w:hAnsi="Times New Roman" w:cs="Times New Roman"/>
          <w:sz w:val="24"/>
          <w:szCs w:val="24"/>
        </w:rPr>
        <w:t>. Toutefois, pour satisfaire l’exigence de clarté de la loi, la jurisprudence ne suffit pas.</w:t>
      </w:r>
      <w:commentRangeEnd w:id="3"/>
      <w:r w:rsidRPr="00E42DEC">
        <w:rPr>
          <w:rStyle w:val="Marquedecommentaire"/>
          <w:rFonts w:ascii="Times New Roman" w:eastAsia="Times New Roman" w:hAnsi="Times New Roman" w:cs="Times New Roman"/>
          <w:sz w:val="24"/>
          <w:szCs w:val="24"/>
        </w:rPr>
        <w:commentReference w:id="3"/>
      </w:r>
      <w:commentRangeEnd w:id="4"/>
      <w:r w:rsidRPr="00E42DEC">
        <w:rPr>
          <w:rStyle w:val="Marquedecommentaire"/>
          <w:rFonts w:ascii="Times New Roman" w:eastAsia="Times New Roman" w:hAnsi="Times New Roman" w:cs="Times New Roman"/>
          <w:sz w:val="24"/>
          <w:szCs w:val="24"/>
        </w:rPr>
        <w:commentReference w:id="4"/>
      </w:r>
    </w:p>
    <w:p w14:paraId="0000007D"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C’est ce que rappelle la </w:t>
      </w:r>
      <w:r>
        <w:rPr>
          <w:rFonts w:ascii="Times New Roman" w:eastAsia="Times New Roman" w:hAnsi="Times New Roman" w:cs="Times New Roman"/>
          <w:b/>
          <w:bCs/>
          <w:sz w:val="24"/>
          <w:szCs w:val="24"/>
          <w:highlight w:val="white"/>
        </w:rPr>
        <w:t>Cour européenne des droits de l’Homme</w:t>
      </w:r>
      <w:r>
        <w:rPr>
          <w:rFonts w:ascii="Times New Roman" w:eastAsia="Times New Roman" w:hAnsi="Times New Roman" w:cs="Times New Roman"/>
          <w:sz w:val="24"/>
          <w:szCs w:val="24"/>
          <w:highlight w:val="white"/>
        </w:rPr>
        <w:t xml:space="preserve"> dans son arrêt précité </w:t>
      </w:r>
      <w:r>
        <w:rPr>
          <w:rFonts w:ascii="Times New Roman" w:eastAsia="Times New Roman" w:hAnsi="Times New Roman" w:cs="Times New Roman"/>
          <w:b/>
          <w:bCs/>
          <w:sz w:val="24"/>
          <w:szCs w:val="24"/>
          <w:highlight w:val="white"/>
        </w:rPr>
        <w:t>S.W c. Royaume-Uni</w:t>
      </w:r>
      <w:r>
        <w:rPr>
          <w:rFonts w:ascii="Times New Roman" w:eastAsia="Times New Roman" w:hAnsi="Times New Roman" w:cs="Times New Roman"/>
          <w:sz w:val="24"/>
          <w:szCs w:val="24"/>
          <w:highlight w:val="white"/>
        </w:rPr>
        <w:t xml:space="preserve"> :</w:t>
      </w:r>
    </w:p>
    <w:p w14:paraId="7086061F" w14:textId="629F63B7" w:rsidR="000D0425" w:rsidRDefault="00000000">
      <w:pPr>
        <w:spacing w:after="200"/>
        <w:jc w:val="both"/>
        <w:rPr>
          <w:rFonts w:ascii="Times New Roman" w:eastAsia="Times New Roman" w:hAnsi="Times New Roman" w:cs="Times New Roman"/>
          <w:sz w:val="24"/>
          <w:szCs w:val="24"/>
          <w:highlight w:val="white"/>
        </w:rPr>
      </w:pPr>
      <w:sdt>
        <w:sdtPr>
          <w:tag w:val="goog_rdk_6"/>
          <w:id w:val="-1786666285"/>
        </w:sdtPr>
        <w:sdtContent/>
      </w:sdt>
      <w:sdt>
        <w:sdtPr>
          <w:tag w:val="goog_rdk_7"/>
          <w:id w:val="-5148253"/>
        </w:sdtPr>
        <w:sdtContent/>
      </w:sdt>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highlight w:val="white"/>
        </w:rPr>
        <w:t xml:space="preserve">On ne saurait interpréter l’article 7 (art. 7) de la Convention comme proscrivant la clarification graduelle des règles de la responsabilité pénale par l’interprétation judiciaire d’une affaire à l’autre, </w:t>
      </w:r>
      <w:r>
        <w:rPr>
          <w:rFonts w:ascii="Times New Roman" w:eastAsia="Times New Roman" w:hAnsi="Times New Roman" w:cs="Times New Roman"/>
          <w:b/>
          <w:bCs/>
          <w:i/>
          <w:iCs/>
          <w:sz w:val="24"/>
          <w:szCs w:val="24"/>
          <w:highlight w:val="white"/>
          <w:u w:val="single"/>
        </w:rPr>
        <w:t>à condition que le résultat soit cohérent avec la substance de l’infraction et raisonnablement prévisible</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3"/>
      </w:r>
    </w:p>
    <w:p w14:paraId="0000007E" w14:textId="3A7C6C2E" w:rsidR="00135230" w:rsidRDefault="00000000">
      <w:pPr>
        <w:spacing w:after="200"/>
        <w:jc w:val="both"/>
        <w:rPr>
          <w:rFonts w:ascii="Times New Roman" w:eastAsia="Times New Roman" w:hAnsi="Times New Roman" w:cs="Times New Roman"/>
          <w:sz w:val="24"/>
          <w:szCs w:val="24"/>
          <w:shd w:val="clear" w:color="auto" w:fill="EA9999"/>
        </w:rPr>
      </w:pPr>
      <w:r w:rsidRPr="00E42DEC">
        <w:rPr>
          <w:rFonts w:ascii="Times New Roman" w:eastAsia="Times New Roman" w:hAnsi="Times New Roman" w:cs="Times New Roman"/>
          <w:sz w:val="24"/>
          <w:szCs w:val="24"/>
        </w:rPr>
        <w:t xml:space="preserve">Ainsi, bien que la Cour </w:t>
      </w:r>
      <w:r w:rsidR="00811AE5" w:rsidRPr="00E42DEC">
        <w:rPr>
          <w:rFonts w:ascii="Times New Roman" w:eastAsia="Times New Roman" w:hAnsi="Times New Roman" w:cs="Times New Roman"/>
          <w:sz w:val="24"/>
          <w:szCs w:val="24"/>
        </w:rPr>
        <w:t>reconnaisse</w:t>
      </w:r>
      <w:r w:rsidRPr="00E42DEC">
        <w:rPr>
          <w:rFonts w:ascii="Times New Roman" w:eastAsia="Times New Roman" w:hAnsi="Times New Roman" w:cs="Times New Roman"/>
          <w:sz w:val="24"/>
          <w:szCs w:val="24"/>
        </w:rPr>
        <w:t xml:space="preserve"> la possibilité à la jurisprudence de combler l’imprécision de la loi, il demeure qu’elle doit également s’attacher à l’essence de la loi pénale. Son interprétation, dont il est exigé qu’elle soit cohérente et prévisible, doit être particulièrement proche </w:t>
      </w:r>
      <w:r w:rsidR="00811AE5" w:rsidRPr="00E42DEC">
        <w:rPr>
          <w:rFonts w:ascii="Times New Roman" w:eastAsia="Times New Roman" w:hAnsi="Times New Roman" w:cs="Times New Roman"/>
          <w:sz w:val="24"/>
          <w:szCs w:val="24"/>
        </w:rPr>
        <w:t>de</w:t>
      </w:r>
      <w:r w:rsidRPr="00E42DEC">
        <w:rPr>
          <w:rFonts w:ascii="Times New Roman" w:eastAsia="Times New Roman" w:hAnsi="Times New Roman" w:cs="Times New Roman"/>
          <w:sz w:val="24"/>
          <w:szCs w:val="24"/>
        </w:rPr>
        <w:t xml:space="preserve"> l’essence du texte.</w:t>
      </w:r>
      <w:r>
        <w:rPr>
          <w:rFonts w:ascii="Times New Roman" w:eastAsia="Times New Roman" w:hAnsi="Times New Roman" w:cs="Times New Roman"/>
          <w:sz w:val="24"/>
          <w:szCs w:val="24"/>
          <w:shd w:val="clear" w:color="auto" w:fill="EA9999"/>
        </w:rPr>
        <w:t xml:space="preserve"> </w:t>
      </w:r>
    </w:p>
    <w:p w14:paraId="0000007F"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niveau du continent africain, il semble exister un certain consensus au sujet de la nécessité pour les juges de respecter le principe de légalité dans le cadre de leur interprétation des textes législatifs. </w:t>
      </w:r>
    </w:p>
    <w:p w14:paraId="00000080"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exemple, dans son arrêt </w:t>
      </w:r>
      <w:r>
        <w:rPr>
          <w:rFonts w:ascii="Times New Roman" w:eastAsia="Times New Roman" w:hAnsi="Times New Roman" w:cs="Times New Roman"/>
          <w:b/>
          <w:bCs/>
          <w:sz w:val="24"/>
          <w:szCs w:val="24"/>
        </w:rPr>
        <w:t>Karamagi et un autre c. Procureur général</w:t>
      </w:r>
      <w:r>
        <w:rPr>
          <w:rFonts w:ascii="Times New Roman" w:eastAsia="Times New Roman" w:hAnsi="Times New Roman" w:cs="Times New Roman"/>
          <w:sz w:val="24"/>
          <w:szCs w:val="24"/>
        </w:rPr>
        <w:t xml:space="preserve">, la </w:t>
      </w:r>
      <w:r>
        <w:rPr>
          <w:rFonts w:ascii="Times New Roman" w:eastAsia="Times New Roman" w:hAnsi="Times New Roman" w:cs="Times New Roman"/>
          <w:b/>
          <w:bCs/>
          <w:sz w:val="24"/>
          <w:szCs w:val="24"/>
        </w:rPr>
        <w:t>Cour constitutionnelle d’Ouganda</w:t>
      </w:r>
      <w:r>
        <w:rPr>
          <w:rFonts w:ascii="Times New Roman" w:eastAsia="Times New Roman" w:hAnsi="Times New Roman" w:cs="Times New Roman"/>
          <w:sz w:val="24"/>
          <w:szCs w:val="24"/>
        </w:rPr>
        <w:t xml:space="preserve"> pose que :</w:t>
      </w:r>
    </w:p>
    <w:p w14:paraId="00000081" w14:textId="1F7C1AB7" w:rsidR="00135230" w:rsidRPr="00824F0F" w:rsidRDefault="00000000">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L’article 28(12) est très clair. Il exige qu’une infraction soit définie. Cette définition doit, à mon sens, être suffisamment claire pour permettre à un citoyen de distinguer le comportement prohibé du comportement permis. </w:t>
      </w:r>
      <w:r w:rsidRPr="00811AE5">
        <w:rPr>
          <w:rFonts w:ascii="Times New Roman" w:eastAsia="Times New Roman" w:hAnsi="Times New Roman" w:cs="Times New Roman"/>
          <w:b/>
          <w:bCs/>
          <w:i/>
          <w:iCs/>
          <w:sz w:val="24"/>
          <w:szCs w:val="24"/>
          <w:highlight w:val="white"/>
          <w:u w:val="single"/>
          <w:lang w:val="en-GB"/>
        </w:rPr>
        <w:t>Toute interprétation vague ne satisfera pas à l’exigence de l’article 28(12)</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44"/>
      </w:r>
    </w:p>
    <w:p w14:paraId="71E6F62A" w14:textId="5E53DBD4" w:rsidR="00811AE5" w:rsidRDefault="00811AE5">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Sur l’aspect de l’interprétation de la disposition pénale, celle-ci doit également ne pas violer les engagements internationaux de l’État qui interprète ces lois.</w:t>
      </w:r>
    </w:p>
    <w:p w14:paraId="00000083" w14:textId="5F8AFBB3" w:rsidR="00135230" w:rsidRDefault="00000000">
      <w:pPr>
        <w:spacing w:after="20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Ainsi, selon la </w:t>
      </w:r>
      <w:r>
        <w:rPr>
          <w:rFonts w:ascii="Times New Roman" w:eastAsia="Times New Roman" w:hAnsi="Times New Roman" w:cs="Times New Roman"/>
          <w:b/>
          <w:bCs/>
          <w:sz w:val="24"/>
          <w:szCs w:val="24"/>
          <w:highlight w:val="white"/>
        </w:rPr>
        <w:t xml:space="preserve">Cour d’appel du </w:t>
      </w:r>
      <w:r w:rsidR="00811AE5">
        <w:rPr>
          <w:rFonts w:ascii="Times New Roman" w:eastAsia="Times New Roman" w:hAnsi="Times New Roman" w:cs="Times New Roman"/>
          <w:b/>
          <w:bCs/>
          <w:sz w:val="24"/>
          <w:szCs w:val="24"/>
          <w:highlight w:val="white"/>
        </w:rPr>
        <w:t>Botswana</w:t>
      </w:r>
      <w:r>
        <w:rPr>
          <w:rFonts w:ascii="Times New Roman" w:eastAsia="Times New Roman" w:hAnsi="Times New Roman" w:cs="Times New Roman"/>
          <w:sz w:val="24"/>
          <w:szCs w:val="24"/>
          <w:highlight w:val="white"/>
        </w:rPr>
        <w:t xml:space="preserve"> : </w:t>
      </w:r>
    </w:p>
    <w:p w14:paraId="00000084" w14:textId="77777777" w:rsidR="00135230" w:rsidRDefault="00000000">
      <w:pPr>
        <w:spacing w:after="200"/>
        <w:jc w:val="both"/>
        <w:rPr>
          <w:rFonts w:ascii="Times New Roman" w:eastAsia="Times New Roman" w:hAnsi="Times New Roman" w:cs="Times New Roman"/>
          <w:sz w:val="24"/>
          <w:szCs w:val="24"/>
          <w:highlight w:val="white"/>
        </w:rPr>
      </w:pPr>
      <w:r w:rsidRPr="00811AE5">
        <w:rPr>
          <w:rFonts w:ascii="Times New Roman" w:eastAsia="Times New Roman" w:hAnsi="Times New Roman" w:cs="Times New Roman"/>
          <w:sz w:val="24"/>
          <w:szCs w:val="24"/>
          <w:lang w:val="en-GB"/>
        </w:rPr>
        <w:lastRenderedPageBreak/>
        <w:t>«</w:t>
      </w:r>
      <w:r w:rsidRPr="00811AE5">
        <w:rPr>
          <w:rFonts w:ascii="Times New Roman" w:eastAsia="Times New Roman" w:hAnsi="Times New Roman" w:cs="Times New Roman"/>
          <w:i/>
          <w:iCs/>
          <w:sz w:val="24"/>
          <w:szCs w:val="24"/>
          <w:lang w:val="en-GB"/>
        </w:rPr>
        <w:t xml:space="preserve"> Le Botswana est membre de la communauté des États civilisés qui s’est engagé à respecter certaines normes de conduite et, sauf impossibilité, </w:t>
      </w:r>
      <w:r w:rsidRPr="00811AE5">
        <w:rPr>
          <w:rFonts w:ascii="Times New Roman" w:eastAsia="Times New Roman" w:hAnsi="Times New Roman" w:cs="Times New Roman"/>
          <w:b/>
          <w:bCs/>
          <w:i/>
          <w:iCs/>
          <w:sz w:val="24"/>
          <w:szCs w:val="24"/>
          <w:u w:val="single"/>
          <w:lang w:val="en-GB"/>
        </w:rPr>
        <w:t>il serait erroné pour ses juridictions d’interpréter sa législation d’une manière qui entre en conflit avec les obligations internationales contractées par le Botswana</w:t>
      </w:r>
      <w:r w:rsidRPr="00811AE5">
        <w:rPr>
          <w:rFonts w:ascii="Times New Roman" w:eastAsia="Times New Roman" w:hAnsi="Times New Roman" w:cs="Times New Roman"/>
          <w:i/>
          <w:iCs/>
          <w:sz w:val="24"/>
          <w:szCs w:val="24"/>
          <w:lang w:val="en-GB"/>
        </w:rPr>
        <w:t xml:space="preserve"> [...] il doit en être ainsi que ces conventions, accords, traités, protocoles ou obligations internationaux aient ou non été spécifiquement incorporés dans notre droit interne</w:t>
      </w: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45"/>
      </w:r>
      <w:r>
        <w:rPr>
          <w:rFonts w:ascii="Times New Roman" w:eastAsia="Times New Roman" w:hAnsi="Times New Roman" w:cs="Times New Roman"/>
          <w:sz w:val="24"/>
          <w:szCs w:val="24"/>
        </w:rPr>
        <w:t>.</w:t>
      </w:r>
    </w:p>
    <w:p w14:paraId="00000086"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Quant à l’usage de sources extérieures pour satisfaire le critère de clarté de la loi pénale, il peut être pertinent de citer la Cour suprême d’Inde qui énonçait :</w:t>
      </w:r>
    </w:p>
    <w:p w14:paraId="00000087" w14:textId="65C33AE3" w:rsidR="00135230" w:rsidRDefault="00000000">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Le fait qu’une définition, quelle qu’elle soit, puisse être formulée pour une expression ne signifie pas que cette définition puisse nécessairement conférer une certitude à cette expression. [...] </w:t>
      </w:r>
      <w:r w:rsidRPr="00BF1337">
        <w:rPr>
          <w:rFonts w:ascii="Times New Roman" w:eastAsia="Times New Roman" w:hAnsi="Times New Roman" w:cs="Times New Roman"/>
          <w:b/>
          <w:bCs/>
          <w:i/>
          <w:iCs/>
          <w:sz w:val="24"/>
          <w:szCs w:val="24"/>
          <w:highlight w:val="white"/>
          <w:u w:val="single"/>
          <w:lang w:val="en-GB"/>
        </w:rPr>
        <w:t>La formulation de définitions ne peut être une panacée contre le mal de l’imprécision et de l’incertitude</w:t>
      </w:r>
      <w:r w:rsidRPr="00BF1337">
        <w:rPr>
          <w:rFonts w:ascii="Times New Roman" w:eastAsia="Times New Roman" w:hAnsi="Times New Roman" w:cs="Times New Roman"/>
          <w:sz w:val="24"/>
          <w:szCs w:val="24"/>
          <w:highlight w:val="white"/>
          <w:u w:val="single"/>
          <w:lang w:val="en-GB"/>
        </w:rPr>
        <w:t>.</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46"/>
      </w:r>
    </w:p>
    <w:p w14:paraId="00000088"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en matière de défense des droits LGBT, la Cour constitutionnelle ougandaise dans l’arrêt </w:t>
      </w:r>
      <w:r>
        <w:rPr>
          <w:rFonts w:ascii="Times New Roman" w:eastAsia="Times New Roman" w:hAnsi="Times New Roman" w:cs="Times New Roman"/>
          <w:b/>
          <w:bCs/>
          <w:sz w:val="24"/>
          <w:szCs w:val="24"/>
        </w:rPr>
        <w:t>Karamagi et un autre c. Procureur général</w:t>
      </w:r>
      <w:r>
        <w:rPr>
          <w:rFonts w:ascii="Times New Roman" w:eastAsia="Times New Roman" w:hAnsi="Times New Roman" w:cs="Times New Roman"/>
          <w:sz w:val="24"/>
          <w:szCs w:val="24"/>
        </w:rPr>
        <w:t xml:space="preserve"> indique :</w:t>
      </w:r>
    </w:p>
    <w:p w14:paraId="00000089" w14:textId="7DDE316C" w:rsidR="00135230" w:rsidRPr="00824F0F" w:rsidRDefault="00000000">
      <w:pPr>
        <w:spacing w:after="200"/>
        <w:jc w:val="both"/>
        <w:rPr>
          <w:rFonts w:ascii="Times New Roman" w:eastAsia="Times New Roman" w:hAnsi="Times New Roman" w:cs="Times New Roman"/>
          <w:sz w:val="24"/>
          <w:szCs w:val="24"/>
          <w:lang w:val="en-GB"/>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i/>
          <w:iCs/>
          <w:sz w:val="24"/>
          <w:szCs w:val="24"/>
          <w:highlight w:val="white"/>
          <w:lang w:val="en-GB"/>
        </w:rPr>
        <w:t xml:space="preserve">Une loi est également nulle pour imprécision si la délégation de pouvoir du législateur aux juges et/ou aux administrateurs est </w:t>
      </w:r>
      <w:r w:rsidRPr="00DF391B">
        <w:rPr>
          <w:rFonts w:ascii="Times New Roman" w:eastAsia="Times New Roman" w:hAnsi="Times New Roman" w:cs="Times New Roman"/>
          <w:b/>
          <w:bCs/>
          <w:i/>
          <w:iCs/>
          <w:sz w:val="24"/>
          <w:szCs w:val="24"/>
          <w:highlight w:val="white"/>
          <w:u w:val="single"/>
          <w:lang w:val="en-GB"/>
        </w:rPr>
        <w:t>si étendue qu’elle conduit à des poursuites arbitraires</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sz w:val="24"/>
          <w:szCs w:val="24"/>
          <w:lang w:val="en-GB"/>
        </w:rPr>
        <w:t>»</w:t>
      </w:r>
      <w:r>
        <w:rPr>
          <w:rFonts w:ascii="Times New Roman" w:eastAsia="Times New Roman" w:hAnsi="Times New Roman" w:cs="Times New Roman"/>
          <w:sz w:val="24"/>
          <w:szCs w:val="24"/>
          <w:vertAlign w:val="superscript"/>
        </w:rPr>
        <w:footnoteReference w:id="47"/>
      </w:r>
    </w:p>
    <w:p w14:paraId="332B6ADA" w14:textId="77777777" w:rsidR="00811AE5" w:rsidRPr="00824F0F" w:rsidRDefault="00811AE5">
      <w:pPr>
        <w:spacing w:after="200"/>
        <w:jc w:val="both"/>
        <w:rPr>
          <w:rFonts w:ascii="Times New Roman" w:eastAsia="Times New Roman" w:hAnsi="Times New Roman" w:cs="Times New Roman"/>
          <w:sz w:val="24"/>
          <w:szCs w:val="24"/>
          <w:lang w:val="en-GB"/>
        </w:rPr>
      </w:pPr>
    </w:p>
    <w:p w14:paraId="0000008A" w14:textId="77777777" w:rsidR="00135230" w:rsidRDefault="00000000">
      <w:pPr>
        <w:numPr>
          <w:ilvl w:val="0"/>
          <w:numId w:val="4"/>
        </w:numPr>
        <w:spacing w:after="200"/>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u w:val="single"/>
        </w:rPr>
        <w:t>lex stricta : l’obligation d’interprétation stricte de la loi pénale</w:t>
      </w:r>
    </w:p>
    <w:p w14:paraId="0000008B" w14:textId="77777777" w:rsidR="00135230" w:rsidRDefault="00000000">
      <w:pPr>
        <w:spacing w:after="200"/>
        <w:jc w:val="both"/>
        <w:rPr>
          <w:rFonts w:ascii="Calibri" w:eastAsia="Calibri" w:hAnsi="Calibri" w:cs="Calibri"/>
          <w:b/>
          <w:bCs/>
        </w:rPr>
      </w:pPr>
      <w:r>
        <w:rPr>
          <w:rFonts w:ascii="Times New Roman" w:eastAsia="Times New Roman" w:hAnsi="Times New Roman" w:cs="Times New Roman"/>
          <w:sz w:val="24"/>
          <w:szCs w:val="24"/>
        </w:rPr>
        <w:t xml:space="preserve">La notion de </w:t>
      </w:r>
      <w:r>
        <w:rPr>
          <w:rFonts w:ascii="Times New Roman" w:eastAsia="Times New Roman" w:hAnsi="Times New Roman" w:cs="Times New Roman"/>
          <w:i/>
          <w:iCs/>
          <w:sz w:val="24"/>
          <w:szCs w:val="24"/>
        </w:rPr>
        <w:t>lex stricta</w:t>
      </w:r>
      <w:r>
        <w:rPr>
          <w:rFonts w:ascii="Times New Roman" w:eastAsia="Times New Roman" w:hAnsi="Times New Roman" w:cs="Times New Roman"/>
          <w:sz w:val="24"/>
          <w:szCs w:val="24"/>
        </w:rPr>
        <w:t xml:space="preserve"> fait référence à l’obligation pour les juges d’interpréter les textes de façon stricte, et donc, par conséquent, à l’interdiction de les interpréter de façon extensive.</w:t>
      </w:r>
    </w:p>
    <w:p w14:paraId="0000008C" w14:textId="77777777" w:rsidR="00135230" w:rsidRDefault="00000000">
      <w:pPr>
        <w:numPr>
          <w:ilvl w:val="0"/>
          <w:numId w:val="8"/>
        </w:numPr>
        <w:spacing w:after="200"/>
        <w:jc w:val="both"/>
        <w:rPr>
          <w:rFonts w:ascii="Times New Roman" w:eastAsia="Times New Roman" w:hAnsi="Times New Roman" w:cs="Times New Roman"/>
          <w:b/>
          <w:bCs/>
          <w:i/>
          <w:iCs/>
          <w:sz w:val="24"/>
          <w:szCs w:val="24"/>
          <w:highlight w:val="white"/>
        </w:rPr>
      </w:pPr>
      <w:r>
        <w:rPr>
          <w:rFonts w:ascii="Times New Roman" w:eastAsia="Times New Roman" w:hAnsi="Times New Roman" w:cs="Times New Roman"/>
          <w:b/>
          <w:bCs/>
          <w:i/>
          <w:iCs/>
          <w:sz w:val="24"/>
          <w:szCs w:val="24"/>
          <w:highlight w:val="white"/>
          <w:u w:val="single"/>
        </w:rPr>
        <w:t>La reconnaissance de lex stricta aux niveaux international, régional et national</w:t>
      </w:r>
    </w:p>
    <w:p w14:paraId="0000008D"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 l’</w:t>
      </w:r>
      <w:r>
        <w:rPr>
          <w:rFonts w:ascii="Times New Roman" w:eastAsia="Times New Roman" w:hAnsi="Times New Roman" w:cs="Times New Roman"/>
          <w:b/>
          <w:bCs/>
          <w:sz w:val="24"/>
          <w:szCs w:val="24"/>
          <w:highlight w:val="white"/>
        </w:rPr>
        <w:t>article 22(2)</w:t>
      </w:r>
      <w:r>
        <w:rPr>
          <w:rFonts w:ascii="Times New Roman" w:eastAsia="Times New Roman" w:hAnsi="Times New Roman" w:cs="Times New Roman"/>
          <w:sz w:val="24"/>
          <w:szCs w:val="24"/>
          <w:highlight w:val="white"/>
        </w:rPr>
        <w:t xml:space="preserve"> du </w:t>
      </w:r>
      <w:r>
        <w:rPr>
          <w:rFonts w:ascii="Times New Roman" w:eastAsia="Times New Roman" w:hAnsi="Times New Roman" w:cs="Times New Roman"/>
          <w:b/>
          <w:bCs/>
          <w:sz w:val="24"/>
          <w:szCs w:val="24"/>
          <w:highlight w:val="white"/>
        </w:rPr>
        <w:t>Statut de Rome</w:t>
      </w:r>
      <w:r>
        <w:rPr>
          <w:rFonts w:ascii="Times New Roman" w:eastAsia="Times New Roman" w:hAnsi="Times New Roman" w:cs="Times New Roman"/>
          <w:sz w:val="24"/>
          <w:szCs w:val="24"/>
          <w:highlight w:val="white"/>
        </w:rPr>
        <w:t xml:space="preserve"> consacre bien l’obligation d’interprétation stricte de la loi, il en ressort également que le principe de </w:t>
      </w:r>
      <w:r>
        <w:rPr>
          <w:rFonts w:ascii="Times New Roman" w:eastAsia="Times New Roman" w:hAnsi="Times New Roman" w:cs="Times New Roman"/>
          <w:i/>
          <w:iCs/>
          <w:sz w:val="24"/>
          <w:szCs w:val="24"/>
          <w:highlight w:val="white"/>
        </w:rPr>
        <w:t>lex stricta</w:t>
      </w:r>
      <w:r>
        <w:rPr>
          <w:rFonts w:ascii="Times New Roman" w:eastAsia="Times New Roman" w:hAnsi="Times New Roman" w:cs="Times New Roman"/>
          <w:sz w:val="24"/>
          <w:szCs w:val="24"/>
          <w:highlight w:val="white"/>
        </w:rPr>
        <w:t xml:space="preserve"> peut être divisé en trois éléments : </w:t>
      </w:r>
    </w:p>
    <w:p w14:paraId="0000008E"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l’obligation d’interprétation stricte, </w:t>
      </w:r>
    </w:p>
    <w:p w14:paraId="0000008F"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l’interdiction d’interprétation extensive </w:t>
      </w:r>
    </w:p>
    <w:p w14:paraId="00000090"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l’interprétation allant dans le sens le plus favorable à l’accusé. Ce dernier, résumé par l’expression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highlight w:val="white"/>
        </w:rPr>
        <w:t xml:space="preserve">in dubio pro reo </w:t>
      </w:r>
      <w:r>
        <w:rPr>
          <w:rFonts w:ascii="Times New Roman" w:eastAsia="Times New Roman" w:hAnsi="Times New Roman" w:cs="Times New Roman"/>
          <w:sz w:val="24"/>
          <w:szCs w:val="24"/>
        </w:rPr>
        <w:t>» n’a pas reçu la même consécration que les deux premiers mais est présent dans plusieurs jurisprudences internationales et nationales.</w:t>
      </w:r>
    </w:p>
    <w:p w14:paraId="00000091" w14:textId="1632DDD4" w:rsidR="00135230" w:rsidRDefault="00000000">
      <w:pPr>
        <w:spacing w:after="200"/>
        <w:jc w:val="both"/>
        <w:rPr>
          <w:rFonts w:ascii="Times New Roman" w:eastAsia="Times New Roman" w:hAnsi="Times New Roman" w:cs="Times New Roman"/>
          <w:sz w:val="24"/>
          <w:szCs w:val="24"/>
          <w:highlight w:val="white"/>
        </w:rPr>
      </w:pPr>
      <w:sdt>
        <w:sdtPr>
          <w:tag w:val="goog_rdk_9"/>
          <w:id w:val="-1366230150"/>
        </w:sdtPr>
        <w:sdtContent>
          <w:commentRangeStart w:id="5"/>
        </w:sdtContent>
      </w:sdt>
      <w:sdt>
        <w:sdtPr>
          <w:tag w:val="goog_rdk_10"/>
          <w:id w:val="-1842558010"/>
        </w:sdtPr>
        <w:sdtContent>
          <w:commentRangeStart w:id="6"/>
        </w:sdtContent>
      </w:sdt>
      <w:r>
        <w:rPr>
          <w:rFonts w:ascii="Times New Roman" w:eastAsia="Times New Roman" w:hAnsi="Times New Roman" w:cs="Times New Roman"/>
          <w:sz w:val="24"/>
          <w:szCs w:val="24"/>
          <w:highlight w:val="white"/>
        </w:rPr>
        <w:t xml:space="preserve">Au niveau international, la </w:t>
      </w:r>
      <w:r>
        <w:rPr>
          <w:rFonts w:ascii="Times New Roman" w:eastAsia="Times New Roman" w:hAnsi="Times New Roman" w:cs="Times New Roman"/>
          <w:b/>
          <w:bCs/>
          <w:sz w:val="24"/>
          <w:szCs w:val="24"/>
          <w:highlight w:val="white"/>
        </w:rPr>
        <w:t>Cour pénale internationale</w:t>
      </w:r>
      <w:r>
        <w:rPr>
          <w:rFonts w:ascii="Times New Roman" w:eastAsia="Times New Roman" w:hAnsi="Times New Roman" w:cs="Times New Roman"/>
          <w:sz w:val="24"/>
          <w:szCs w:val="24"/>
          <w:highlight w:val="white"/>
        </w:rPr>
        <w:t xml:space="preserve"> soumet l’interprétation des dispositions du Statut de Rome au principe de </w:t>
      </w:r>
      <w:r>
        <w:rPr>
          <w:rFonts w:ascii="Times New Roman" w:eastAsia="Times New Roman" w:hAnsi="Times New Roman" w:cs="Times New Roman"/>
          <w:i/>
          <w:iCs/>
          <w:sz w:val="24"/>
          <w:szCs w:val="24"/>
          <w:highlight w:val="white"/>
        </w:rPr>
        <w:t xml:space="preserve">Lex </w:t>
      </w:r>
      <w:r w:rsidR="00B63439">
        <w:rPr>
          <w:rFonts w:ascii="Times New Roman" w:eastAsia="Times New Roman" w:hAnsi="Times New Roman" w:cs="Times New Roman"/>
          <w:i/>
          <w:iCs/>
          <w:sz w:val="24"/>
          <w:szCs w:val="24"/>
          <w:highlight w:val="white"/>
        </w:rPr>
        <w:t>stricta</w:t>
      </w:r>
      <w:r>
        <w:rPr>
          <w:rFonts w:ascii="Times New Roman" w:eastAsia="Times New Roman" w:hAnsi="Times New Roman" w:cs="Times New Roman"/>
          <w:sz w:val="24"/>
          <w:szCs w:val="24"/>
          <w:highlight w:val="white"/>
        </w:rPr>
        <w:t xml:space="preserve">. C’est ce que l’on peut observer notamment dans sa décision de confirmation des charges dans l’affaire </w:t>
      </w:r>
      <w:hyperlink r:id="rId13">
        <w:r w:rsidR="00135230">
          <w:rPr>
            <w:rFonts w:ascii="Times New Roman" w:eastAsia="Times New Roman" w:hAnsi="Times New Roman" w:cs="Times New Roman"/>
            <w:b/>
            <w:bCs/>
            <w:sz w:val="24"/>
            <w:szCs w:val="24"/>
            <w:highlight w:val="white"/>
          </w:rPr>
          <w:t>Procureur c. Lubanga Dyilo</w:t>
        </w:r>
      </w:hyperlink>
      <w:r>
        <w:rPr>
          <w:rFonts w:ascii="Times New Roman" w:eastAsia="Times New Roman" w:hAnsi="Times New Roman" w:cs="Times New Roman"/>
          <w:sz w:val="24"/>
          <w:szCs w:val="24"/>
          <w:highlight w:val="white"/>
          <w:vertAlign w:val="superscript"/>
        </w:rPr>
        <w:t xml:space="preserve"> </w:t>
      </w:r>
      <w:r>
        <w:rPr>
          <w:rFonts w:ascii="Times New Roman" w:eastAsia="Times New Roman" w:hAnsi="Times New Roman" w:cs="Times New Roman"/>
          <w:sz w:val="24"/>
          <w:szCs w:val="24"/>
          <w:highlight w:val="white"/>
        </w:rPr>
        <w:t xml:space="preserve">: </w:t>
      </w:r>
    </w:p>
    <w:p w14:paraId="00000092" w14:textId="16C46426" w:rsidR="00135230" w:rsidRPr="00B17CB1" w:rsidRDefault="00000000" w:rsidP="00B17CB1">
      <w:pPr>
        <w:spacing w:after="200"/>
        <w:jc w:val="both"/>
        <w:rPr>
          <w:rFonts w:ascii="Times New Roman" w:eastAsia="Times New Roman" w:hAnsi="Times New Roman" w:cs="Times New Roman"/>
          <w:i/>
          <w:iCs/>
          <w:sz w:val="24"/>
          <w:szCs w:val="24"/>
          <w:highlight w:val="white"/>
        </w:rPr>
      </w:pPr>
      <w:r w:rsidRPr="00B17CB1">
        <w:rPr>
          <w:rFonts w:ascii="Times New Roman" w:eastAsia="Times New Roman" w:hAnsi="Times New Roman" w:cs="Times New Roman"/>
          <w:i/>
          <w:iCs/>
          <w:sz w:val="24"/>
          <w:szCs w:val="24"/>
          <w:highlight w:val="white"/>
        </w:rPr>
        <w:lastRenderedPageBreak/>
        <w:t xml:space="preserve">“Ainsi, il n’y a pas violation du principe de la légalité lorsque la Chambre exerce son pouvoir de décider s’il convient de renvoyer Thomas Lubanga Dyilo en jugement au vu de normes criminelles antérieures approuvées par les États parties au Statut de Rome (lex praevia), </w:t>
      </w:r>
      <w:r w:rsidRPr="009D6172">
        <w:rPr>
          <w:rFonts w:ascii="Times New Roman" w:eastAsia="Times New Roman" w:hAnsi="Times New Roman" w:cs="Times New Roman"/>
          <w:b/>
          <w:bCs/>
          <w:i/>
          <w:iCs/>
          <w:sz w:val="24"/>
          <w:szCs w:val="24"/>
          <w:highlight w:val="white"/>
          <w:u w:val="single"/>
        </w:rPr>
        <w:t>définissant les comportements prohibés et la peine qui s’y est attachée (lex certa), qui ne peuvent être interprétées par analogie in malam partem (lex stricta),</w:t>
      </w:r>
      <w:r w:rsidRPr="00B17CB1">
        <w:rPr>
          <w:rFonts w:ascii="Times New Roman" w:eastAsia="Times New Roman" w:hAnsi="Times New Roman" w:cs="Times New Roman"/>
          <w:i/>
          <w:iCs/>
          <w:sz w:val="24"/>
          <w:szCs w:val="24"/>
          <w:highlight w:val="white"/>
        </w:rPr>
        <w:t xml:space="preserve"> et qui sont écrites (lex scripta)”</w:t>
      </w:r>
      <w:r w:rsidRPr="00B17CB1">
        <w:rPr>
          <w:rFonts w:ascii="Times New Roman" w:eastAsia="Times New Roman" w:hAnsi="Times New Roman" w:cs="Times New Roman"/>
          <w:sz w:val="24"/>
          <w:szCs w:val="24"/>
          <w:vertAlign w:val="superscript"/>
        </w:rPr>
        <w:footnoteReference w:id="48"/>
      </w:r>
      <w:commentRangeEnd w:id="5"/>
      <w:r w:rsidRPr="00B17CB1">
        <w:rPr>
          <w:rStyle w:val="Marquedecommentaire"/>
          <w:rFonts w:ascii="Times New Roman" w:eastAsia="Times New Roman" w:hAnsi="Times New Roman" w:cs="Times New Roman"/>
          <w:i/>
          <w:iCs/>
          <w:sz w:val="24"/>
          <w:szCs w:val="24"/>
          <w:highlight w:val="white"/>
        </w:rPr>
        <w:commentReference w:id="5"/>
      </w:r>
      <w:commentRangeEnd w:id="6"/>
      <w:r w:rsidRPr="00B17CB1">
        <w:rPr>
          <w:rStyle w:val="Marquedecommentaire"/>
          <w:rFonts w:ascii="Times New Roman" w:eastAsia="Times New Roman" w:hAnsi="Times New Roman" w:cs="Times New Roman"/>
          <w:i/>
          <w:iCs/>
          <w:sz w:val="24"/>
          <w:szCs w:val="24"/>
          <w:highlight w:val="white"/>
        </w:rPr>
        <w:commentReference w:id="6"/>
      </w:r>
    </w:p>
    <w:p w14:paraId="00000093" w14:textId="20316DF1"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Au niveau régional, la </w:t>
      </w:r>
      <w:r>
        <w:rPr>
          <w:rFonts w:ascii="Times New Roman" w:eastAsia="Times New Roman" w:hAnsi="Times New Roman" w:cs="Times New Roman"/>
          <w:b/>
          <w:bCs/>
          <w:sz w:val="24"/>
          <w:szCs w:val="24"/>
          <w:highlight w:val="white"/>
        </w:rPr>
        <w:t>Cour interaméricaine des droits de l’Homme</w:t>
      </w:r>
      <w:r>
        <w:rPr>
          <w:rFonts w:ascii="Times New Roman" w:eastAsia="Times New Roman" w:hAnsi="Times New Roman" w:cs="Times New Roman"/>
          <w:sz w:val="24"/>
          <w:szCs w:val="24"/>
          <w:highlight w:val="white"/>
        </w:rPr>
        <w:t xml:space="preserve"> a consacré le principe de </w:t>
      </w:r>
      <w:r>
        <w:rPr>
          <w:rFonts w:ascii="Times New Roman" w:eastAsia="Times New Roman" w:hAnsi="Times New Roman" w:cs="Times New Roman"/>
          <w:i/>
          <w:iCs/>
          <w:sz w:val="24"/>
          <w:szCs w:val="24"/>
          <w:highlight w:val="white"/>
        </w:rPr>
        <w:t xml:space="preserve">Lex </w:t>
      </w:r>
      <w:r w:rsidR="000D0425">
        <w:rPr>
          <w:rFonts w:ascii="Times New Roman" w:eastAsia="Times New Roman" w:hAnsi="Times New Roman" w:cs="Times New Roman"/>
          <w:i/>
          <w:iCs/>
          <w:sz w:val="24"/>
          <w:szCs w:val="24"/>
          <w:highlight w:val="white"/>
        </w:rPr>
        <w:t>stricta</w:t>
      </w:r>
      <w:r>
        <w:rPr>
          <w:rFonts w:ascii="Times New Roman" w:eastAsia="Times New Roman" w:hAnsi="Times New Roman" w:cs="Times New Roman"/>
          <w:sz w:val="24"/>
          <w:szCs w:val="24"/>
          <w:highlight w:val="white"/>
        </w:rPr>
        <w:t xml:space="preserve"> dans son arrêt </w:t>
      </w:r>
      <w:r>
        <w:rPr>
          <w:rFonts w:ascii="Times New Roman" w:eastAsia="Times New Roman" w:hAnsi="Times New Roman" w:cs="Times New Roman"/>
          <w:b/>
          <w:bCs/>
          <w:sz w:val="24"/>
          <w:szCs w:val="24"/>
          <w:highlight w:val="white"/>
        </w:rPr>
        <w:t>García-Asto et Ramírez-Rojas c. Pérou</w:t>
      </w:r>
      <w:r w:rsidR="000D0425">
        <w:rPr>
          <w:rFonts w:ascii="Times New Roman" w:eastAsia="Times New Roman" w:hAnsi="Times New Roman" w:cs="Times New Roman"/>
          <w:b/>
          <w:bCs/>
          <w:sz w:val="24"/>
          <w:szCs w:val="24"/>
          <w:highlight w:val="white"/>
        </w:rPr>
        <w:t>,</w:t>
      </w:r>
      <w:r>
        <w:rPr>
          <w:rFonts w:ascii="Times New Roman" w:eastAsia="Times New Roman" w:hAnsi="Times New Roman" w:cs="Times New Roman"/>
          <w:sz w:val="24"/>
          <w:szCs w:val="24"/>
          <w:highlight w:val="white"/>
          <w:vertAlign w:val="superscript"/>
        </w:rPr>
        <w:footnoteReference w:id="49"/>
      </w:r>
      <w:r>
        <w:rPr>
          <w:rFonts w:ascii="Times New Roman" w:eastAsia="Times New Roman" w:hAnsi="Times New Roman" w:cs="Times New Roman"/>
          <w:sz w:val="24"/>
          <w:szCs w:val="24"/>
          <w:highlight w:val="white"/>
        </w:rPr>
        <w:t xml:space="preserve"> la Cour européenne des droits de l’Homme dans son arrêt </w:t>
      </w:r>
      <w:r>
        <w:rPr>
          <w:rFonts w:ascii="Times New Roman" w:eastAsia="Times New Roman" w:hAnsi="Times New Roman" w:cs="Times New Roman"/>
          <w:b/>
          <w:bCs/>
          <w:sz w:val="24"/>
          <w:szCs w:val="24"/>
        </w:rPr>
        <w:t>Kokkinakis c. Grèce</w:t>
      </w:r>
      <w:r w:rsidR="000D0425">
        <w:rPr>
          <w:rFonts w:ascii="Times New Roman" w:eastAsia="Times New Roman" w:hAnsi="Times New Roman" w:cs="Times New Roman"/>
          <w:b/>
          <w:bCs/>
          <w:sz w:val="24"/>
          <w:szCs w:val="24"/>
        </w:rPr>
        <w:t>.</w:t>
      </w:r>
      <w:r>
        <w:rPr>
          <w:rFonts w:ascii="Times New Roman" w:eastAsia="Times New Roman" w:hAnsi="Times New Roman" w:cs="Times New Roman"/>
          <w:sz w:val="24"/>
          <w:szCs w:val="24"/>
          <w:vertAlign w:val="superscript"/>
        </w:rPr>
        <w:footnoteReference w:id="50"/>
      </w:r>
    </w:p>
    <w:p w14:paraId="00000094"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ce qui concerne les États Africains, ils sont très nombreux à reconnaître l'existence d’une obligation d’interprétation stricte de la loi pénale.</w:t>
      </w:r>
    </w:p>
    <w:p w14:paraId="00000095" w14:textId="77777777" w:rsidR="00135230" w:rsidRDefault="00000000">
      <w:pPr>
        <w:spacing w:after="20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En Afrique du Sud, ce principe est élevé au rang de principe constitutionnel. En effet, les sections </w:t>
      </w:r>
      <w:r>
        <w:rPr>
          <w:rFonts w:ascii="Times New Roman" w:eastAsia="Times New Roman" w:hAnsi="Times New Roman" w:cs="Times New Roman"/>
          <w:sz w:val="24"/>
          <w:szCs w:val="24"/>
        </w:rPr>
        <w:t>35(3)(l) et (n) de la Constitution sud-africaine se présentent comme suit :</w:t>
      </w:r>
    </w:p>
    <w:p w14:paraId="00000096" w14:textId="77777777" w:rsidR="00135230" w:rsidRDefault="00000000">
      <w:pPr>
        <w:spacing w:after="200"/>
        <w:jc w:val="both"/>
        <w:rPr>
          <w:rFonts w:ascii="Times New Roman" w:eastAsia="Times New Roman" w:hAnsi="Times New Roman" w:cs="Times New Roman"/>
          <w:sz w:val="24"/>
          <w:szCs w:val="24"/>
          <w:highlight w:val="white"/>
        </w:rPr>
      </w:pPr>
      <w:r w:rsidRPr="00811AE5">
        <w:rPr>
          <w:rFonts w:ascii="Times New Roman" w:eastAsia="Times New Roman" w:hAnsi="Times New Roman" w:cs="Times New Roman"/>
          <w:sz w:val="24"/>
          <w:szCs w:val="24"/>
          <w:lang w:val="en-GB"/>
        </w:rPr>
        <w:t>«</w:t>
      </w:r>
      <w:r w:rsidRPr="00811AE5">
        <w:rPr>
          <w:rFonts w:ascii="Times New Roman" w:eastAsia="Times New Roman" w:hAnsi="Times New Roman" w:cs="Times New Roman"/>
          <w:i/>
          <w:iCs/>
          <w:sz w:val="24"/>
          <w:szCs w:val="24"/>
          <w:lang w:val="en-GB"/>
        </w:rPr>
        <w:t xml:space="preserve"> Un accusé ne peut être déclaré coupable d’une infraction et condamné que si le type de comportement qui lui est reproché : (a) a été reconnu par la loi comme une infraction [principe connu sous le nom de ius acceptum, reconnu à la fois pour les infractions de common law et les infractions légales] ; (b) </w:t>
      </w:r>
      <w:r w:rsidRPr="00811AE5">
        <w:rPr>
          <w:rFonts w:ascii="Times New Roman" w:eastAsia="Times New Roman" w:hAnsi="Times New Roman" w:cs="Times New Roman"/>
          <w:b/>
          <w:bCs/>
          <w:i/>
          <w:iCs/>
          <w:sz w:val="24"/>
          <w:szCs w:val="24"/>
          <w:u w:val="single"/>
          <w:lang w:val="en-GB"/>
        </w:rPr>
        <w:t>en termes clairs</w:t>
      </w:r>
      <w:r w:rsidRPr="00811AE5">
        <w:rPr>
          <w:rFonts w:ascii="Times New Roman" w:eastAsia="Times New Roman" w:hAnsi="Times New Roman" w:cs="Times New Roman"/>
          <w:i/>
          <w:iCs/>
          <w:sz w:val="24"/>
          <w:szCs w:val="24"/>
          <w:lang w:val="en-GB"/>
        </w:rPr>
        <w:t xml:space="preserve"> [...] (d) </w:t>
      </w:r>
      <w:r w:rsidRPr="00811AE5">
        <w:rPr>
          <w:rFonts w:ascii="Times New Roman" w:eastAsia="Times New Roman" w:hAnsi="Times New Roman" w:cs="Times New Roman"/>
          <w:b/>
          <w:bCs/>
          <w:i/>
          <w:iCs/>
          <w:sz w:val="24"/>
          <w:szCs w:val="24"/>
          <w:u w:val="single"/>
          <w:lang w:val="en-GB"/>
        </w:rPr>
        <w:t>sans que la juridiction ait à étirer le sens des mots et des concepts de la définition pour faire entrer le comportement particulier de l’accusé dans le champ de cette définition</w:t>
      </w:r>
      <w:r w:rsidRPr="00811AE5">
        <w:rPr>
          <w:rFonts w:ascii="Times New Roman" w:eastAsia="Times New Roman" w:hAnsi="Times New Roman" w:cs="Times New Roman"/>
          <w:i/>
          <w:iCs/>
          <w:sz w:val="24"/>
          <w:szCs w:val="24"/>
          <w:lang w:val="en-GB"/>
        </w:rPr>
        <w:t xml:space="preserve"> [...]</w:t>
      </w:r>
      <w:r w:rsidRPr="00811AE5">
        <w:rPr>
          <w:rFonts w:ascii="Calibri" w:eastAsia="Calibri" w:hAnsi="Calibri" w:cs="Calibri"/>
          <w:lang w:val="en-GB"/>
        </w:rPr>
        <w:t xml:space="preserve"> </w:t>
      </w:r>
      <w:r>
        <w:rPr>
          <w:rFonts w:ascii="Times New Roman" w:eastAsia="Times New Roman" w:hAnsi="Times New Roman" w:cs="Times New Roman"/>
          <w:sz w:val="24"/>
          <w:szCs w:val="24"/>
        </w:rPr>
        <w:t>».</w:t>
      </w:r>
    </w:p>
    <w:p w14:paraId="00000097" w14:textId="095F02B9" w:rsidR="00135230" w:rsidRDefault="00000000">
      <w:pPr>
        <w:spacing w:after="200"/>
        <w:jc w:val="both"/>
        <w:rPr>
          <w:rFonts w:ascii="Times New Roman" w:eastAsia="Times New Roman" w:hAnsi="Times New Roman" w:cs="Times New Roman"/>
          <w:sz w:val="24"/>
          <w:szCs w:val="24"/>
        </w:rPr>
      </w:pPr>
      <w:r w:rsidRPr="000D0425">
        <w:rPr>
          <w:rFonts w:ascii="Times New Roman" w:eastAsia="Times New Roman" w:hAnsi="Times New Roman" w:cs="Times New Roman"/>
          <w:sz w:val="24"/>
          <w:szCs w:val="24"/>
        </w:rPr>
        <w:t xml:space="preserve">De même, le </w:t>
      </w:r>
      <w:sdt>
        <w:sdtPr>
          <w:tag w:val="goog_rdk_11"/>
          <w:id w:val="-1663289555"/>
        </w:sdtPr>
        <w:sdtContent>
          <w:commentRangeStart w:id="7"/>
        </w:sdtContent>
      </w:sdt>
      <w:sdt>
        <w:sdtPr>
          <w:tag w:val="goog_rdk_12"/>
          <w:id w:val="523078409"/>
        </w:sdtPr>
        <w:sdtContent>
          <w:commentRangeStart w:id="8"/>
        </w:sdtContent>
      </w:sdt>
      <w:r w:rsidRPr="000D0425">
        <w:rPr>
          <w:rFonts w:ascii="Times New Roman" w:eastAsia="Times New Roman" w:hAnsi="Times New Roman" w:cs="Times New Roman"/>
          <w:sz w:val="24"/>
          <w:szCs w:val="24"/>
        </w:rPr>
        <w:t>Sénégal</w:t>
      </w:r>
      <w:r w:rsidRPr="000D0425">
        <w:rPr>
          <w:rFonts w:ascii="Times New Roman" w:eastAsia="Times New Roman" w:hAnsi="Times New Roman" w:cs="Times New Roman"/>
          <w:sz w:val="24"/>
          <w:szCs w:val="24"/>
          <w:vertAlign w:val="superscript"/>
        </w:rPr>
        <w:footnoteReference w:id="51"/>
      </w:r>
      <w:r w:rsidRPr="000D0425">
        <w:rPr>
          <w:rFonts w:ascii="Times New Roman" w:eastAsia="Times New Roman" w:hAnsi="Times New Roman" w:cs="Times New Roman"/>
          <w:sz w:val="24"/>
          <w:szCs w:val="24"/>
        </w:rPr>
        <w:t>, le Mali</w:t>
      </w:r>
      <w:r w:rsidRPr="000D0425">
        <w:rPr>
          <w:rFonts w:ascii="Times New Roman" w:eastAsia="Times New Roman" w:hAnsi="Times New Roman" w:cs="Times New Roman"/>
          <w:sz w:val="24"/>
          <w:szCs w:val="24"/>
          <w:vertAlign w:val="superscript"/>
        </w:rPr>
        <w:footnoteReference w:id="52"/>
      </w:r>
      <w:r w:rsidRPr="000D0425">
        <w:rPr>
          <w:rFonts w:ascii="Times New Roman" w:eastAsia="Times New Roman" w:hAnsi="Times New Roman" w:cs="Times New Roman"/>
          <w:sz w:val="24"/>
          <w:szCs w:val="24"/>
        </w:rPr>
        <w:t>, et le Togo</w:t>
      </w:r>
      <w:r w:rsidRPr="000D0425">
        <w:rPr>
          <w:rFonts w:ascii="Times New Roman" w:eastAsia="Times New Roman" w:hAnsi="Times New Roman" w:cs="Times New Roman"/>
          <w:sz w:val="24"/>
          <w:szCs w:val="24"/>
          <w:vertAlign w:val="superscript"/>
        </w:rPr>
        <w:footnoteReference w:id="53"/>
      </w:r>
      <w:r w:rsidRPr="000D0425">
        <w:rPr>
          <w:rFonts w:ascii="Times New Roman" w:eastAsia="Times New Roman" w:hAnsi="Times New Roman" w:cs="Times New Roman"/>
          <w:sz w:val="24"/>
          <w:szCs w:val="24"/>
        </w:rPr>
        <w:t xml:space="preserve"> </w:t>
      </w:r>
      <w:commentRangeEnd w:id="7"/>
      <w:r w:rsidRPr="000D0425">
        <w:rPr>
          <w:rStyle w:val="Marquedecommentaire"/>
          <w:rFonts w:ascii="Times New Roman" w:eastAsia="Times New Roman" w:hAnsi="Times New Roman" w:cs="Times New Roman"/>
          <w:sz w:val="24"/>
          <w:szCs w:val="24"/>
        </w:rPr>
        <w:commentReference w:id="7"/>
      </w:r>
      <w:commentRangeEnd w:id="8"/>
      <w:r w:rsidRPr="000D0425">
        <w:rPr>
          <w:rStyle w:val="Marquedecommentaire"/>
          <w:rFonts w:ascii="Times New Roman" w:eastAsia="Times New Roman" w:hAnsi="Times New Roman" w:cs="Times New Roman"/>
          <w:sz w:val="24"/>
          <w:szCs w:val="24"/>
        </w:rPr>
        <w:commentReference w:id="8"/>
      </w:r>
      <w:r w:rsidRPr="000D0425">
        <w:rPr>
          <w:rFonts w:ascii="Times New Roman" w:eastAsia="Times New Roman" w:hAnsi="Times New Roman" w:cs="Times New Roman"/>
          <w:sz w:val="24"/>
          <w:szCs w:val="24"/>
        </w:rPr>
        <w:t>reconnaissent respectivement dans leur jurisprudence le caractère obligatoire de la règle d’interprétation stricte de la loi pénale</w:t>
      </w:r>
      <w:r w:rsidR="000D0425">
        <w:rPr>
          <w:rFonts w:ascii="Times New Roman" w:eastAsia="Times New Roman" w:hAnsi="Times New Roman" w:cs="Times New Roman"/>
          <w:sz w:val="24"/>
          <w:szCs w:val="24"/>
        </w:rPr>
        <w:t>.</w:t>
      </w:r>
    </w:p>
    <w:p w14:paraId="77E24E61" w14:textId="77777777" w:rsidR="000D0425" w:rsidRDefault="000D0425">
      <w:pPr>
        <w:spacing w:after="200"/>
        <w:jc w:val="both"/>
        <w:rPr>
          <w:rFonts w:ascii="Times New Roman" w:eastAsia="Times New Roman" w:hAnsi="Times New Roman" w:cs="Times New Roman"/>
          <w:sz w:val="24"/>
          <w:szCs w:val="24"/>
        </w:rPr>
      </w:pPr>
    </w:p>
    <w:p w14:paraId="00000098" w14:textId="77777777" w:rsidR="00135230" w:rsidRDefault="00000000">
      <w:pPr>
        <w:numPr>
          <w:ilvl w:val="0"/>
          <w:numId w:val="8"/>
        </w:numPr>
        <w:spacing w:after="200"/>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highlight w:val="white"/>
          <w:u w:val="single"/>
        </w:rPr>
        <w:t>L’interdiction de l’interprétation extensive de la loi pénale</w:t>
      </w:r>
    </w:p>
    <w:p w14:paraId="00000099"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niveau régional, cette interdiction est présente dans la jurisprudence de la </w:t>
      </w:r>
      <w:r>
        <w:rPr>
          <w:rFonts w:ascii="Times New Roman" w:eastAsia="Times New Roman" w:hAnsi="Times New Roman" w:cs="Times New Roman"/>
          <w:b/>
          <w:bCs/>
          <w:sz w:val="24"/>
          <w:szCs w:val="24"/>
        </w:rPr>
        <w:t>Cour européenne des droits de l’Homme</w:t>
      </w:r>
      <w:r>
        <w:rPr>
          <w:rFonts w:ascii="Times New Roman" w:eastAsia="Times New Roman" w:hAnsi="Times New Roman" w:cs="Times New Roman"/>
          <w:sz w:val="24"/>
          <w:szCs w:val="24"/>
        </w:rPr>
        <w:t xml:space="preserve">, notamment dans son arrêt </w:t>
      </w:r>
      <w:r>
        <w:rPr>
          <w:rFonts w:ascii="Times New Roman" w:eastAsia="Times New Roman" w:hAnsi="Times New Roman" w:cs="Times New Roman"/>
          <w:b/>
          <w:bCs/>
          <w:sz w:val="24"/>
          <w:szCs w:val="24"/>
        </w:rPr>
        <w:t xml:space="preserve">Vasiliauskas c. Lituanie </w:t>
      </w:r>
      <w:r>
        <w:rPr>
          <w:rFonts w:ascii="Times New Roman" w:eastAsia="Times New Roman" w:hAnsi="Times New Roman" w:cs="Times New Roman"/>
          <w:sz w:val="24"/>
          <w:szCs w:val="24"/>
        </w:rPr>
        <w:t>précité.</w:t>
      </w:r>
    </w:p>
    <w:p w14:paraId="0000009A"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Au niveau national, à l’instar de l’obligation d’interprétation stricte, la </w:t>
      </w:r>
      <w:r>
        <w:rPr>
          <w:rFonts w:ascii="Times New Roman" w:eastAsia="Times New Roman" w:hAnsi="Times New Roman" w:cs="Times New Roman"/>
          <w:b/>
          <w:bCs/>
          <w:sz w:val="24"/>
          <w:szCs w:val="24"/>
        </w:rPr>
        <w:t>Constitution sud-africaine</w:t>
      </w:r>
      <w:r>
        <w:rPr>
          <w:rFonts w:ascii="Times New Roman" w:eastAsia="Times New Roman" w:hAnsi="Times New Roman" w:cs="Times New Roman"/>
          <w:sz w:val="24"/>
          <w:szCs w:val="24"/>
        </w:rPr>
        <w:t xml:space="preserve"> élève au rang de norme constitutionnelle l’interdiction d’interprétation extensive aux </w:t>
      </w:r>
      <w:r>
        <w:rPr>
          <w:rFonts w:ascii="Times New Roman" w:eastAsia="Times New Roman" w:hAnsi="Times New Roman" w:cs="Times New Roman"/>
          <w:b/>
          <w:bCs/>
          <w:sz w:val="24"/>
          <w:szCs w:val="24"/>
        </w:rPr>
        <w:t xml:space="preserve">sections 35(3)(l) et (n) </w:t>
      </w:r>
      <w:r>
        <w:rPr>
          <w:rFonts w:ascii="Times New Roman" w:eastAsia="Times New Roman" w:hAnsi="Times New Roman" w:cs="Times New Roman"/>
          <w:sz w:val="24"/>
          <w:szCs w:val="24"/>
        </w:rPr>
        <w:t>précitées de son texte constitutionnel.</w:t>
      </w:r>
    </w:p>
    <w:p w14:paraId="0000009B"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ce qui concerne les jurisprudences nationales africaines, la </w:t>
      </w:r>
      <w:r>
        <w:rPr>
          <w:rFonts w:ascii="Times New Roman" w:eastAsia="Times New Roman" w:hAnsi="Times New Roman" w:cs="Times New Roman"/>
          <w:b/>
          <w:bCs/>
          <w:sz w:val="24"/>
          <w:szCs w:val="24"/>
        </w:rPr>
        <w:t>Cour d’appel de Tanzanie</w:t>
      </w:r>
      <w:r>
        <w:rPr>
          <w:rFonts w:ascii="Times New Roman" w:eastAsia="Times New Roman" w:hAnsi="Times New Roman" w:cs="Times New Roman"/>
          <w:sz w:val="24"/>
          <w:szCs w:val="24"/>
        </w:rPr>
        <w:t xml:space="preserve"> consacre expressément l’interdiction d’interprétation extensive de la loi pénale : </w:t>
      </w:r>
    </w:p>
    <w:p w14:paraId="0000009C" w14:textId="580ACFD5" w:rsidR="00135230" w:rsidRDefault="00000000">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i/>
          <w:iCs/>
          <w:sz w:val="24"/>
          <w:szCs w:val="24"/>
          <w:lang w:val="en-GB"/>
        </w:rPr>
        <w:t xml:space="preserve">« [...] any law that seeks to limit fundamental rights of the individual must </w:t>
      </w:r>
      <w:r w:rsidRPr="00811AE5">
        <w:rPr>
          <w:rFonts w:ascii="Times New Roman" w:eastAsia="Times New Roman" w:hAnsi="Times New Roman" w:cs="Times New Roman"/>
          <w:b/>
          <w:bCs/>
          <w:i/>
          <w:iCs/>
          <w:sz w:val="24"/>
          <w:szCs w:val="24"/>
          <w:u w:val="single"/>
          <w:lang w:val="en-GB"/>
        </w:rPr>
        <w:t>be construed strictly</w:t>
      </w: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4"/>
      </w:r>
    </w:p>
    <w:p w14:paraId="3D8CC559" w14:textId="40BF3BC4" w:rsidR="00B84108" w:rsidRPr="00B84108" w:rsidRDefault="00000000">
      <w:pPr>
        <w:spacing w:after="200"/>
        <w:jc w:val="both"/>
        <w:rPr>
          <w:rFonts w:ascii="Times New Roman" w:eastAsia="Times New Roman" w:hAnsi="Times New Roman" w:cs="Times New Roman"/>
          <w:sz w:val="24"/>
          <w:szCs w:val="24"/>
          <w:shd w:val="clear" w:color="auto" w:fill="EA9999"/>
          <w:lang w:val="en-GB"/>
        </w:rPr>
      </w:pPr>
      <w:r w:rsidRPr="00811AE5">
        <w:rPr>
          <w:rFonts w:ascii="Times New Roman" w:eastAsia="Times New Roman" w:hAnsi="Times New Roman" w:cs="Times New Roman"/>
          <w:sz w:val="24"/>
          <w:szCs w:val="24"/>
          <w:lang w:val="en-GB"/>
        </w:rPr>
        <w:t xml:space="preserve">C’est également le raisonnement tenu par </w:t>
      </w:r>
      <w:sdt>
        <w:sdtPr>
          <w:tag w:val="goog_rdk_13"/>
          <w:id w:val="-1545620592"/>
        </w:sdtPr>
        <w:sdtContent>
          <w:commentRangeStart w:id="9"/>
        </w:sdtContent>
      </w:sdt>
      <w:sdt>
        <w:sdtPr>
          <w:tag w:val="goog_rdk_14"/>
          <w:id w:val="-1539867137"/>
        </w:sdtPr>
        <w:sdtContent>
          <w:commentRangeStart w:id="10"/>
        </w:sdtContent>
      </w:sdt>
      <w:r w:rsidRPr="00811AE5">
        <w:rPr>
          <w:rFonts w:ascii="Times New Roman" w:eastAsia="Times New Roman" w:hAnsi="Times New Roman" w:cs="Times New Roman"/>
          <w:sz w:val="24"/>
          <w:szCs w:val="24"/>
          <w:lang w:val="en-GB"/>
        </w:rPr>
        <w:t xml:space="preserve">la </w:t>
      </w:r>
      <w:r w:rsidRPr="00811AE5">
        <w:rPr>
          <w:rFonts w:ascii="Times New Roman" w:eastAsia="Times New Roman" w:hAnsi="Times New Roman" w:cs="Times New Roman"/>
          <w:b/>
          <w:bCs/>
          <w:sz w:val="24"/>
          <w:szCs w:val="24"/>
          <w:lang w:val="en-GB"/>
        </w:rPr>
        <w:t>Cour d’appel du Botswan</w:t>
      </w:r>
      <w:r w:rsidR="00047DA1">
        <w:rPr>
          <w:rFonts w:ascii="Times New Roman" w:eastAsia="Times New Roman" w:hAnsi="Times New Roman" w:cs="Times New Roman"/>
          <w:b/>
          <w:bCs/>
          <w:sz w:val="24"/>
          <w:szCs w:val="24"/>
          <w:lang w:val="en-GB"/>
        </w:rPr>
        <w:t>a</w:t>
      </w:r>
      <w:commentRangeEnd w:id="9"/>
      <w:r w:rsidRPr="0095791B">
        <w:rPr>
          <w:rStyle w:val="Marquedecommentaire"/>
          <w:rFonts w:ascii="Times New Roman" w:eastAsia="Times New Roman" w:hAnsi="Times New Roman" w:cs="Times New Roman"/>
          <w:sz w:val="24"/>
          <w:szCs w:val="24"/>
          <w:vertAlign w:val="superscript"/>
          <w:lang w:val="en-GB"/>
        </w:rPr>
        <w:commentReference w:id="9"/>
      </w:r>
      <w:commentRangeEnd w:id="10"/>
      <w:r w:rsidRPr="0095791B">
        <w:rPr>
          <w:rStyle w:val="Marquedecommentaire"/>
          <w:rFonts w:ascii="Times New Roman" w:eastAsia="Times New Roman" w:hAnsi="Times New Roman" w:cs="Times New Roman"/>
          <w:sz w:val="24"/>
          <w:szCs w:val="24"/>
          <w:vertAlign w:val="superscript"/>
          <w:lang w:val="en-GB"/>
        </w:rPr>
        <w:commentReference w:id="10"/>
      </w:r>
      <w:r w:rsidR="00047DA1" w:rsidRPr="0095791B">
        <w:rPr>
          <w:rFonts w:ascii="Times New Roman" w:eastAsia="Times New Roman" w:hAnsi="Times New Roman" w:cs="Times New Roman"/>
          <w:sz w:val="24"/>
          <w:szCs w:val="24"/>
          <w:vertAlign w:val="superscript"/>
          <w:lang w:val="en-GB"/>
        </w:rPr>
        <w:t xml:space="preserve"> </w:t>
      </w:r>
      <w:r w:rsidRPr="00811AE5">
        <w:rPr>
          <w:rFonts w:ascii="Times New Roman" w:eastAsia="Times New Roman" w:hAnsi="Times New Roman" w:cs="Times New Roman"/>
          <w:sz w:val="24"/>
          <w:szCs w:val="24"/>
          <w:lang w:val="en-GB"/>
        </w:rPr>
        <w:t xml:space="preserve">: </w:t>
      </w:r>
      <w:r w:rsidRPr="00811AE5">
        <w:rPr>
          <w:rFonts w:ascii="Times New Roman" w:eastAsia="Times New Roman" w:hAnsi="Times New Roman" w:cs="Times New Roman"/>
          <w:sz w:val="24"/>
          <w:szCs w:val="24"/>
          <w:lang w:val="en-GB"/>
        </w:rPr>
        <w:br/>
      </w:r>
      <w:r w:rsidRPr="00811AE5">
        <w:rPr>
          <w:rFonts w:ascii="Times New Roman" w:eastAsia="Times New Roman" w:hAnsi="Times New Roman" w:cs="Times New Roman"/>
          <w:sz w:val="24"/>
          <w:szCs w:val="24"/>
          <w:lang w:val="en-GB"/>
        </w:rPr>
        <w:br/>
      </w:r>
      <w:r w:rsidRPr="00631687">
        <w:rPr>
          <w:rFonts w:ascii="Times New Roman" w:eastAsia="Times New Roman" w:hAnsi="Times New Roman" w:cs="Times New Roman"/>
          <w:sz w:val="24"/>
          <w:szCs w:val="24"/>
          <w:lang w:val="en-GB"/>
        </w:rPr>
        <w:t xml:space="preserve">« </w:t>
      </w:r>
      <w:r w:rsidRPr="00631687">
        <w:rPr>
          <w:rFonts w:ascii="Times New Roman" w:eastAsia="Times New Roman" w:hAnsi="Times New Roman" w:cs="Times New Roman"/>
          <w:i/>
          <w:iCs/>
          <w:sz w:val="24"/>
          <w:szCs w:val="24"/>
          <w:lang w:val="en-GB"/>
        </w:rPr>
        <w:t xml:space="preserve">lorsque des droits et libertés sont conférés aux personnes par la Constitution, les dérogations à ces droits et libertés </w:t>
      </w:r>
      <w:r w:rsidRPr="00631687">
        <w:rPr>
          <w:rFonts w:ascii="Times New Roman" w:eastAsia="Times New Roman" w:hAnsi="Times New Roman" w:cs="Times New Roman"/>
          <w:b/>
          <w:bCs/>
          <w:i/>
          <w:iCs/>
          <w:sz w:val="24"/>
          <w:szCs w:val="24"/>
          <w:u w:val="single"/>
          <w:lang w:val="en-GB"/>
        </w:rPr>
        <w:t>doivent être interprétées de manière étroite ou stricte</w:t>
      </w:r>
      <w:r w:rsidRPr="00631687">
        <w:rPr>
          <w:rFonts w:ascii="Times New Roman" w:eastAsia="Times New Roman" w:hAnsi="Times New Roman" w:cs="Times New Roman"/>
          <w:sz w:val="24"/>
          <w:szCs w:val="24"/>
          <w:lang w:val="en-GB"/>
        </w:rPr>
        <w:t>. »</w:t>
      </w:r>
      <w:r w:rsidR="00047DA1" w:rsidRPr="00047DA1">
        <w:rPr>
          <w:rFonts w:ascii="Times New Roman" w:eastAsia="Times New Roman" w:hAnsi="Times New Roman" w:cs="Times New Roman"/>
          <w:sz w:val="24"/>
          <w:szCs w:val="24"/>
          <w:vertAlign w:val="superscript"/>
          <w:lang w:val="en-GB"/>
        </w:rPr>
        <w:t xml:space="preserve"> </w:t>
      </w:r>
      <w:r w:rsidR="00047DA1">
        <w:rPr>
          <w:rFonts w:ascii="Times New Roman" w:eastAsia="Times New Roman" w:hAnsi="Times New Roman" w:cs="Times New Roman"/>
          <w:sz w:val="24"/>
          <w:szCs w:val="24"/>
          <w:vertAlign w:val="superscript"/>
        </w:rPr>
        <w:footnoteReference w:id="55"/>
      </w:r>
    </w:p>
    <w:p w14:paraId="0000009F"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Afrique francophone, le principe est également reconnu par certaines juridictions comme le montre un </w:t>
      </w:r>
      <w:r>
        <w:rPr>
          <w:rFonts w:ascii="Times New Roman" w:eastAsia="Times New Roman" w:hAnsi="Times New Roman" w:cs="Times New Roman"/>
          <w:b/>
          <w:bCs/>
          <w:sz w:val="24"/>
          <w:szCs w:val="24"/>
        </w:rPr>
        <w:t xml:space="preserve">arrêt </w:t>
      </w:r>
      <w:r>
        <w:rPr>
          <w:rFonts w:ascii="Times New Roman" w:eastAsia="Times New Roman" w:hAnsi="Times New Roman" w:cs="Times New Roman"/>
          <w:sz w:val="24"/>
          <w:szCs w:val="24"/>
        </w:rPr>
        <w:t xml:space="preserve">de la </w:t>
      </w:r>
      <w:r>
        <w:rPr>
          <w:rFonts w:ascii="Times New Roman" w:eastAsia="Times New Roman" w:hAnsi="Times New Roman" w:cs="Times New Roman"/>
          <w:b/>
          <w:bCs/>
          <w:sz w:val="24"/>
          <w:szCs w:val="24"/>
        </w:rPr>
        <w:t>Chambre criminelle de la Cour de cassation du Niger</w:t>
      </w:r>
      <w:r>
        <w:rPr>
          <w:rFonts w:ascii="Times New Roman" w:eastAsia="Times New Roman" w:hAnsi="Times New Roman" w:cs="Times New Roman"/>
          <w:sz w:val="24"/>
          <w:szCs w:val="24"/>
        </w:rPr>
        <w:t xml:space="preserve"> qui énonce que :</w:t>
      </w:r>
    </w:p>
    <w:p w14:paraId="000000A0" w14:textId="2F38CE07" w:rsidR="00135230" w:rsidRDefault="00000000">
      <w:pPr>
        <w:spacing w:after="200"/>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i/>
          <w:iCs/>
          <w:sz w:val="24"/>
          <w:szCs w:val="24"/>
        </w:rPr>
        <w:t xml:space="preserve">« [...] </w:t>
      </w:r>
      <w:r>
        <w:rPr>
          <w:rFonts w:ascii="Times New Roman" w:eastAsia="Times New Roman" w:hAnsi="Times New Roman" w:cs="Times New Roman"/>
          <w:i/>
          <w:iCs/>
          <w:sz w:val="24"/>
          <w:szCs w:val="24"/>
          <w:highlight w:val="white"/>
        </w:rPr>
        <w:t xml:space="preserve">la loi pénale étant d’interprétation stricte, </w:t>
      </w:r>
      <w:r>
        <w:rPr>
          <w:rFonts w:ascii="Times New Roman" w:eastAsia="Times New Roman" w:hAnsi="Times New Roman" w:cs="Times New Roman"/>
          <w:b/>
          <w:bCs/>
          <w:i/>
          <w:iCs/>
          <w:sz w:val="24"/>
          <w:szCs w:val="24"/>
          <w:highlight w:val="white"/>
          <w:u w:val="single"/>
        </w:rPr>
        <w:t>l’arrêt attaqué ne saurait, par voie de déduction ou de raisonnement analogique, retenir la culpabilité d’un prévenu</w:t>
      </w:r>
      <w:r>
        <w:rPr>
          <w:rFonts w:ascii="Times New Roman" w:eastAsia="Times New Roman" w:hAnsi="Times New Roman" w:cs="Times New Roman"/>
          <w:i/>
          <w:iCs/>
          <w:sz w:val="24"/>
          <w:szCs w:val="24"/>
          <w:highlight w:val="white"/>
        </w:rPr>
        <w:t xml:space="preserve"> poursuivi pour escroquerie portant sur un immeuble</w:t>
      </w:r>
      <w:r>
        <w:rPr>
          <w:rFonts w:ascii="Times New Roman" w:eastAsia="Times New Roman" w:hAnsi="Times New Roman" w:cs="Times New Roman"/>
          <w:i/>
          <w:iCs/>
          <w:sz w:val="24"/>
          <w:szCs w:val="24"/>
        </w:rPr>
        <w:t xml:space="preserve"> [...]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56"/>
      </w:r>
      <w:commentRangeStart w:id="11"/>
      <w:commentRangeStart w:id="12"/>
    </w:p>
    <w:commentRangeEnd w:id="11"/>
    <w:p w14:paraId="000000A1" w14:textId="77777777" w:rsidR="00135230" w:rsidRDefault="00000000">
      <w:pPr>
        <w:widowControl w:val="0"/>
        <w:spacing w:line="240" w:lineRule="auto"/>
        <w:jc w:val="both"/>
        <w:rPr>
          <w:rFonts w:ascii="Times New Roman" w:eastAsia="Times New Roman" w:hAnsi="Times New Roman" w:cs="Times New Roman"/>
          <w:sz w:val="24"/>
          <w:szCs w:val="24"/>
          <w:shd w:val="clear" w:color="auto" w:fill="CFE2F3"/>
        </w:rPr>
      </w:pPr>
      <w:r>
        <w:rPr>
          <w:rStyle w:val="Marquedecommentaire"/>
          <w:rFonts w:ascii="Times New Roman" w:eastAsia="Times New Roman" w:hAnsi="Times New Roman" w:cs="Times New Roman"/>
          <w:sz w:val="24"/>
          <w:szCs w:val="24"/>
          <w:shd w:val="clear" w:color="auto" w:fill="CFE2F3"/>
        </w:rPr>
        <w:commentReference w:id="11"/>
      </w:r>
      <w:commentRangeEnd w:id="12"/>
      <w:r>
        <w:rPr>
          <w:rStyle w:val="Marquedecommentaire"/>
          <w:rFonts w:ascii="Times New Roman" w:eastAsia="Times New Roman" w:hAnsi="Times New Roman" w:cs="Times New Roman"/>
          <w:sz w:val="24"/>
          <w:szCs w:val="24"/>
          <w:shd w:val="clear" w:color="auto" w:fill="CFE2F3"/>
        </w:rPr>
        <w:commentReference w:id="12"/>
      </w:r>
    </w:p>
    <w:p w14:paraId="000000A2" w14:textId="77777777" w:rsidR="00135230" w:rsidRPr="00811AE5" w:rsidRDefault="00000000">
      <w:pPr>
        <w:numPr>
          <w:ilvl w:val="0"/>
          <w:numId w:val="8"/>
        </w:numPr>
        <w:spacing w:after="200"/>
        <w:jc w:val="both"/>
        <w:rPr>
          <w:rFonts w:ascii="Times New Roman" w:eastAsia="Times New Roman" w:hAnsi="Times New Roman" w:cs="Times New Roman"/>
          <w:b/>
          <w:bCs/>
          <w:i/>
          <w:iCs/>
          <w:sz w:val="24"/>
          <w:szCs w:val="24"/>
          <w:lang w:val="en-GB"/>
        </w:rPr>
      </w:pPr>
      <w:r w:rsidRPr="00811AE5">
        <w:rPr>
          <w:rFonts w:ascii="Times New Roman" w:eastAsia="Times New Roman" w:hAnsi="Times New Roman" w:cs="Times New Roman"/>
          <w:b/>
          <w:bCs/>
          <w:i/>
          <w:iCs/>
          <w:sz w:val="24"/>
          <w:szCs w:val="24"/>
          <w:u w:val="single"/>
          <w:lang w:val="en-GB"/>
        </w:rPr>
        <w:t xml:space="preserve">Le principe in dubio pro reo </w:t>
      </w:r>
    </w:p>
    <w:p w14:paraId="000000A3" w14:textId="6A7722D9" w:rsidR="00135230" w:rsidRPr="00F246A6" w:rsidRDefault="00000000">
      <w:pPr>
        <w:spacing w:after="200"/>
        <w:jc w:val="both"/>
        <w:rPr>
          <w:rFonts w:ascii="Times New Roman" w:eastAsia="Times New Roman" w:hAnsi="Times New Roman" w:cs="Times New Roman"/>
          <w:sz w:val="24"/>
          <w:szCs w:val="24"/>
        </w:rPr>
      </w:pPr>
      <w:sdt>
        <w:sdtPr>
          <w:tag w:val="goog_rdk_17"/>
          <w:id w:val="-1248157124"/>
        </w:sdtPr>
        <w:sdtContent/>
      </w:sdt>
      <w:sdt>
        <w:sdtPr>
          <w:tag w:val="goog_rdk_18"/>
          <w:id w:val="-1618272422"/>
        </w:sdtPr>
        <w:sdtContent/>
      </w:sdt>
      <w:r w:rsidRPr="00F246A6">
        <w:rPr>
          <w:rFonts w:ascii="Times New Roman" w:eastAsia="Times New Roman" w:hAnsi="Times New Roman" w:cs="Times New Roman"/>
          <w:sz w:val="24"/>
          <w:szCs w:val="24"/>
        </w:rPr>
        <w:t xml:space="preserve">Le principe </w:t>
      </w:r>
      <w:r w:rsidRPr="00DD351A">
        <w:rPr>
          <w:rFonts w:ascii="Times New Roman" w:eastAsia="Times New Roman" w:hAnsi="Times New Roman" w:cs="Times New Roman"/>
          <w:i/>
          <w:iCs/>
          <w:sz w:val="24"/>
          <w:szCs w:val="24"/>
        </w:rPr>
        <w:t>in dubio pro reo</w:t>
      </w:r>
      <w:r w:rsidRPr="00F246A6">
        <w:rPr>
          <w:rFonts w:ascii="Times New Roman" w:eastAsia="Times New Roman" w:hAnsi="Times New Roman" w:cs="Times New Roman"/>
          <w:sz w:val="24"/>
          <w:szCs w:val="24"/>
        </w:rPr>
        <w:t xml:space="preserve"> fait référence à la règle selon laquelle le doute profite à l’accusé. Ainsi, lorsqu’un doute découle du manque de clarté de la loi pénale, les juges devraient retenir l’interprétation la plus favorable à l’accusé</w:t>
      </w:r>
      <w:r w:rsidR="00B84108" w:rsidRPr="00F246A6">
        <w:rPr>
          <w:rFonts w:ascii="Times New Roman" w:eastAsia="Times New Roman" w:hAnsi="Times New Roman" w:cs="Times New Roman"/>
          <w:sz w:val="24"/>
          <w:szCs w:val="24"/>
        </w:rPr>
        <w:t>.</w:t>
      </w:r>
    </w:p>
    <w:p w14:paraId="000000A4" w14:textId="77777777" w:rsidR="00135230" w:rsidRPr="00F246A6" w:rsidRDefault="00000000">
      <w:pPr>
        <w:spacing w:after="200"/>
        <w:rPr>
          <w:rFonts w:ascii="Times New Roman" w:eastAsia="Times New Roman" w:hAnsi="Times New Roman" w:cs="Times New Roman"/>
          <w:sz w:val="24"/>
          <w:szCs w:val="24"/>
        </w:rPr>
      </w:pPr>
      <w:sdt>
        <w:sdtPr>
          <w:rPr>
            <w:rFonts w:ascii="Times New Roman" w:eastAsia="Times New Roman" w:hAnsi="Times New Roman" w:cs="Times New Roman"/>
            <w:sz w:val="24"/>
            <w:szCs w:val="24"/>
          </w:rPr>
          <w:tag w:val="goog_rdk_19"/>
          <w:id w:val="-1212415144"/>
        </w:sdtPr>
        <w:sdtContent/>
      </w:sdt>
      <w:r w:rsidRPr="00F246A6">
        <w:rPr>
          <w:rFonts w:ascii="Times New Roman" w:eastAsia="Times New Roman" w:hAnsi="Times New Roman" w:cs="Times New Roman"/>
          <w:sz w:val="24"/>
          <w:szCs w:val="24"/>
        </w:rPr>
        <w:t>À ce sujet le Tribunal pénal international pour l’ex-Yougoslavie énonçait en 1998 dans son jugement Procureur c. Delalić :</w:t>
      </w:r>
    </w:p>
    <w:p w14:paraId="000000A5" w14:textId="5AB63276" w:rsidR="00135230" w:rsidRPr="00F246A6" w:rsidRDefault="00000000">
      <w:pPr>
        <w:spacing w:after="200"/>
        <w:jc w:val="both"/>
        <w:rPr>
          <w:rFonts w:ascii="Times New Roman" w:eastAsia="Times New Roman" w:hAnsi="Times New Roman" w:cs="Times New Roman"/>
          <w:sz w:val="24"/>
          <w:szCs w:val="24"/>
        </w:rPr>
      </w:pPr>
      <w:r w:rsidRPr="00F246A6">
        <w:rPr>
          <w:rFonts w:ascii="Times New Roman" w:eastAsia="Times New Roman" w:hAnsi="Times New Roman" w:cs="Times New Roman"/>
          <w:sz w:val="24"/>
          <w:szCs w:val="24"/>
        </w:rPr>
        <w:t xml:space="preserve">« </w:t>
      </w:r>
      <w:r w:rsidRPr="00F246A6">
        <w:rPr>
          <w:rFonts w:ascii="Times New Roman" w:eastAsia="Times New Roman" w:hAnsi="Times New Roman" w:cs="Times New Roman"/>
          <w:i/>
          <w:iCs/>
          <w:sz w:val="24"/>
          <w:szCs w:val="24"/>
        </w:rPr>
        <w:t xml:space="preserve">L'effet d'une interprétation stricte des dispositions d'une loi pénale est que, lorsqu'un mot équivoque ou une phrase ambiguë laisse subsister un doute raisonnable quant à sa signification que les règles d'interprétation ne parviennent pas à lever, </w:t>
      </w:r>
      <w:r w:rsidRPr="00F246A6">
        <w:rPr>
          <w:rFonts w:ascii="Times New Roman" w:eastAsia="Times New Roman" w:hAnsi="Times New Roman" w:cs="Times New Roman"/>
          <w:b/>
          <w:bCs/>
          <w:i/>
          <w:iCs/>
          <w:sz w:val="24"/>
          <w:szCs w:val="24"/>
          <w:u w:val="single"/>
        </w:rPr>
        <w:t>le bénéfice du doute doit être accordé à la partie concernée et contre le législateur qui n'a pas su s'expliquer</w:t>
      </w:r>
      <w:r w:rsidRPr="00F246A6">
        <w:rPr>
          <w:rFonts w:ascii="Times New Roman" w:eastAsia="Times New Roman" w:hAnsi="Times New Roman" w:cs="Times New Roman"/>
          <w:i/>
          <w:iCs/>
          <w:sz w:val="24"/>
          <w:szCs w:val="24"/>
        </w:rPr>
        <w:t>. [...]</w:t>
      </w:r>
      <w:r w:rsidRPr="00F246A6">
        <w:rPr>
          <w:rFonts w:ascii="Times New Roman" w:eastAsia="Times New Roman" w:hAnsi="Times New Roman" w:cs="Times New Roman"/>
          <w:sz w:val="24"/>
          <w:szCs w:val="24"/>
        </w:rPr>
        <w:t xml:space="preserve"> »</w:t>
      </w:r>
      <w:r w:rsidRPr="00F246A6">
        <w:rPr>
          <w:rFonts w:ascii="Times New Roman" w:eastAsia="Times New Roman" w:hAnsi="Times New Roman" w:cs="Times New Roman"/>
          <w:sz w:val="24"/>
          <w:szCs w:val="24"/>
          <w:vertAlign w:val="superscript"/>
        </w:rPr>
        <w:footnoteReference w:id="57"/>
      </w:r>
    </w:p>
    <w:p w14:paraId="000000A7" w14:textId="5E3A599C" w:rsidR="00135230" w:rsidRDefault="00F80CEE">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w:t>
      </w:r>
      <w:r w:rsidR="00000000">
        <w:rPr>
          <w:rFonts w:ascii="Times New Roman" w:eastAsia="Times New Roman" w:hAnsi="Times New Roman" w:cs="Times New Roman"/>
          <w:sz w:val="24"/>
          <w:szCs w:val="24"/>
        </w:rPr>
        <w:t xml:space="preserve"> principe est </w:t>
      </w:r>
      <w:r>
        <w:rPr>
          <w:rFonts w:ascii="Times New Roman" w:eastAsia="Times New Roman" w:hAnsi="Times New Roman" w:cs="Times New Roman"/>
          <w:sz w:val="24"/>
          <w:szCs w:val="24"/>
        </w:rPr>
        <w:t xml:space="preserve">également </w:t>
      </w:r>
      <w:r w:rsidR="00000000">
        <w:rPr>
          <w:rFonts w:ascii="Times New Roman" w:eastAsia="Times New Roman" w:hAnsi="Times New Roman" w:cs="Times New Roman"/>
          <w:sz w:val="24"/>
          <w:szCs w:val="24"/>
        </w:rPr>
        <w:t xml:space="preserve">consacré par le </w:t>
      </w:r>
      <w:r w:rsidR="00000000">
        <w:rPr>
          <w:rFonts w:ascii="Times New Roman" w:eastAsia="Times New Roman" w:hAnsi="Times New Roman" w:cs="Times New Roman"/>
          <w:b/>
          <w:bCs/>
          <w:sz w:val="24"/>
          <w:szCs w:val="24"/>
        </w:rPr>
        <w:t>Statut de Rome</w:t>
      </w:r>
      <w:r w:rsidR="00000000">
        <w:rPr>
          <w:rFonts w:ascii="Times New Roman" w:eastAsia="Times New Roman" w:hAnsi="Times New Roman" w:cs="Times New Roman"/>
          <w:sz w:val="24"/>
          <w:szCs w:val="24"/>
        </w:rPr>
        <w:t xml:space="preserve"> en son </w:t>
      </w:r>
      <w:r w:rsidR="00000000">
        <w:rPr>
          <w:rFonts w:ascii="Times New Roman" w:eastAsia="Times New Roman" w:hAnsi="Times New Roman" w:cs="Times New Roman"/>
          <w:b/>
          <w:bCs/>
          <w:sz w:val="24"/>
          <w:szCs w:val="24"/>
        </w:rPr>
        <w:t>article 22(2)</w:t>
      </w:r>
      <w:r w:rsidR="00000000">
        <w:rPr>
          <w:rFonts w:ascii="Times New Roman" w:eastAsia="Times New Roman" w:hAnsi="Times New Roman" w:cs="Times New Roman"/>
          <w:sz w:val="24"/>
          <w:szCs w:val="24"/>
        </w:rPr>
        <w:t xml:space="preserve">. Le principe est même reconnu par la </w:t>
      </w:r>
      <w:r w:rsidR="00000000">
        <w:rPr>
          <w:rFonts w:ascii="Times New Roman" w:eastAsia="Times New Roman" w:hAnsi="Times New Roman" w:cs="Times New Roman"/>
          <w:b/>
          <w:bCs/>
          <w:sz w:val="24"/>
          <w:szCs w:val="24"/>
        </w:rPr>
        <w:t>Cour pénale internationale</w:t>
      </w:r>
      <w:r w:rsidR="00000000">
        <w:rPr>
          <w:rFonts w:ascii="Times New Roman" w:eastAsia="Times New Roman" w:hAnsi="Times New Roman" w:cs="Times New Roman"/>
          <w:sz w:val="24"/>
          <w:szCs w:val="24"/>
        </w:rPr>
        <w:t xml:space="preserve"> dans sa </w:t>
      </w:r>
      <w:r w:rsidR="00000000">
        <w:rPr>
          <w:rFonts w:ascii="Times New Roman" w:eastAsia="Times New Roman" w:hAnsi="Times New Roman" w:cs="Times New Roman"/>
          <w:b/>
          <w:bCs/>
          <w:sz w:val="24"/>
          <w:szCs w:val="24"/>
        </w:rPr>
        <w:t xml:space="preserve">Décision relative à la requête </w:t>
      </w:r>
      <w:r w:rsidR="00000000">
        <w:rPr>
          <w:rFonts w:ascii="Times New Roman" w:eastAsia="Times New Roman" w:hAnsi="Times New Roman" w:cs="Times New Roman"/>
          <w:b/>
          <w:bCs/>
          <w:sz w:val="24"/>
          <w:szCs w:val="24"/>
        </w:rPr>
        <w:lastRenderedPageBreak/>
        <w:t>de l’Accusation aux fins de délivrance d’un mandat d’arrêt à l’encontre d’Omar Hassan Ahmad Al Bashir</w:t>
      </w:r>
      <w:r w:rsidR="00000000">
        <w:rPr>
          <w:rFonts w:ascii="Times New Roman" w:eastAsia="Times New Roman" w:hAnsi="Times New Roman" w:cs="Times New Roman"/>
          <w:sz w:val="24"/>
          <w:szCs w:val="24"/>
        </w:rPr>
        <w:t xml:space="preserve"> : </w:t>
      </w:r>
    </w:p>
    <w:p w14:paraId="000000A8" w14:textId="757D513A"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 La majorité des juges est d’avis qu’outre sa totale conformité à la jurisprudence du TPIY et du TPIR en la matière, cette conclusion découle également de l’application </w:t>
      </w:r>
      <w:r>
        <w:rPr>
          <w:rFonts w:ascii="Times New Roman" w:eastAsia="Times New Roman" w:hAnsi="Times New Roman" w:cs="Times New Roman"/>
          <w:b/>
          <w:bCs/>
          <w:i/>
          <w:iCs/>
          <w:sz w:val="24"/>
          <w:szCs w:val="24"/>
          <w:u w:val="single"/>
        </w:rPr>
        <w:t xml:space="preserve">du principe général d’interprétation in </w:t>
      </w:r>
      <w:r w:rsidRPr="00C06957">
        <w:rPr>
          <w:rFonts w:ascii="Times New Roman" w:eastAsia="Times New Roman" w:hAnsi="Times New Roman" w:cs="Times New Roman"/>
          <w:b/>
          <w:bCs/>
          <w:sz w:val="24"/>
          <w:szCs w:val="24"/>
          <w:u w:val="single"/>
        </w:rPr>
        <w:t>dubio pro reo</w:t>
      </w:r>
      <w:r>
        <w:rPr>
          <w:rFonts w:ascii="Times New Roman" w:eastAsia="Times New Roman" w:hAnsi="Times New Roman" w:cs="Times New Roman"/>
          <w:b/>
          <w:bCs/>
          <w:i/>
          <w:iCs/>
          <w:sz w:val="24"/>
          <w:szCs w:val="24"/>
          <w:u w:val="single"/>
        </w:rPr>
        <w:t>, consacré par l’article 22‐2 du Statut</w:t>
      </w:r>
      <w:r>
        <w:rPr>
          <w:rFonts w:ascii="Times New Roman" w:eastAsia="Times New Roman" w:hAnsi="Times New Roman" w:cs="Times New Roman"/>
          <w:i/>
          <w:iCs/>
          <w:sz w:val="24"/>
          <w:szCs w:val="24"/>
        </w:rPr>
        <w:t>. [...] »</w:t>
      </w:r>
      <w:r w:rsidRPr="00F80CEE">
        <w:rPr>
          <w:rFonts w:ascii="Times New Roman" w:eastAsia="Times New Roman" w:hAnsi="Times New Roman" w:cs="Times New Roman"/>
          <w:sz w:val="24"/>
          <w:szCs w:val="24"/>
          <w:vertAlign w:val="superscript"/>
        </w:rPr>
        <w:footnoteReference w:id="58"/>
      </w:r>
    </w:p>
    <w:p w14:paraId="000000A9" w14:textId="32560EB5"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niveau national, plusieurs cours </w:t>
      </w:r>
      <w:r w:rsidR="00F92CD9">
        <w:rPr>
          <w:rFonts w:ascii="Times New Roman" w:eastAsia="Times New Roman" w:hAnsi="Times New Roman" w:cs="Times New Roman"/>
          <w:sz w:val="24"/>
          <w:szCs w:val="24"/>
        </w:rPr>
        <w:t>états-uniennes</w:t>
      </w:r>
      <w:r>
        <w:rPr>
          <w:rFonts w:ascii="Times New Roman" w:eastAsia="Times New Roman" w:hAnsi="Times New Roman" w:cs="Times New Roman"/>
          <w:sz w:val="24"/>
          <w:szCs w:val="24"/>
        </w:rPr>
        <w:t xml:space="preserve"> et européennes reconnaissent expressément l’exigence d’interprétation favorable. </w:t>
      </w:r>
    </w:p>
    <w:p w14:paraId="000000AA" w14:textId="77777777"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exemple, dans un arrêt </w:t>
      </w:r>
      <w:r>
        <w:rPr>
          <w:rFonts w:ascii="Times New Roman" w:eastAsia="Times New Roman" w:hAnsi="Times New Roman" w:cs="Times New Roman"/>
          <w:b/>
          <w:bCs/>
          <w:sz w:val="24"/>
          <w:szCs w:val="24"/>
        </w:rPr>
        <w:t>Marcotte c. Sous-procureur général du Canada</w:t>
      </w:r>
      <w:r>
        <w:rPr>
          <w:rFonts w:ascii="Times New Roman" w:eastAsia="Times New Roman" w:hAnsi="Times New Roman" w:cs="Times New Roman"/>
          <w:sz w:val="24"/>
          <w:szCs w:val="24"/>
        </w:rPr>
        <w:t>, la Cour suprême du Canada établit que :</w:t>
      </w:r>
    </w:p>
    <w:p w14:paraId="000000AB" w14:textId="03AB2A6D" w:rsidR="00135230" w:rsidRPr="00824F0F" w:rsidRDefault="00000000">
      <w:pPr>
        <w:spacing w:after="200"/>
        <w:jc w:val="both"/>
        <w:rPr>
          <w:rFonts w:ascii="Calibri" w:eastAsia="Calibri" w:hAnsi="Calibri" w:cs="Calibri"/>
          <w:b/>
          <w:bCs/>
          <w:color w:val="674EA7"/>
          <w:lang w:val="en-GB"/>
        </w:rPr>
      </w:pP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b/>
          <w:bCs/>
          <w:i/>
          <w:iCs/>
          <w:sz w:val="24"/>
          <w:szCs w:val="24"/>
          <w:highlight w:val="white"/>
          <w:u w:val="single"/>
          <w:lang w:val="en-GB"/>
        </w:rPr>
        <w:t>si de véritables ambiguïtés sont constatées</w:t>
      </w:r>
      <w:r w:rsidRPr="00811AE5">
        <w:rPr>
          <w:rFonts w:ascii="Times New Roman" w:eastAsia="Times New Roman" w:hAnsi="Times New Roman" w:cs="Times New Roman"/>
          <w:i/>
          <w:iCs/>
          <w:sz w:val="24"/>
          <w:szCs w:val="24"/>
          <w:highlight w:val="white"/>
          <w:lang w:val="en-GB"/>
        </w:rPr>
        <w:t xml:space="preserve">, ou si des doutes substantiels apparaissent, </w:t>
      </w:r>
      <w:r w:rsidRPr="00811AE5">
        <w:rPr>
          <w:rFonts w:ascii="Times New Roman" w:eastAsia="Times New Roman" w:hAnsi="Times New Roman" w:cs="Times New Roman"/>
          <w:b/>
          <w:bCs/>
          <w:i/>
          <w:iCs/>
          <w:sz w:val="24"/>
          <w:szCs w:val="24"/>
          <w:highlight w:val="white"/>
          <w:u w:val="single"/>
          <w:lang w:val="en-GB"/>
        </w:rPr>
        <w:t>dans l’interprétation et l’application d’une loi portant atteinte à la liberté d’un sujet</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b/>
          <w:bCs/>
          <w:i/>
          <w:iCs/>
          <w:sz w:val="24"/>
          <w:szCs w:val="24"/>
          <w:highlight w:val="white"/>
          <w:u w:val="single"/>
          <w:lang w:val="en-GB"/>
        </w:rPr>
        <w:t>cette loi doit alors être appliquée de manière à favoriser la personne contre laquelle son application est recherchée</w:t>
      </w:r>
      <w:r w:rsidRPr="00811AE5">
        <w:rPr>
          <w:rFonts w:ascii="Times New Roman" w:eastAsia="Times New Roman" w:hAnsi="Times New Roman" w:cs="Times New Roman"/>
          <w:i/>
          <w:iCs/>
          <w:sz w:val="24"/>
          <w:szCs w:val="24"/>
          <w:highlight w:val="white"/>
          <w:lang w:val="en-GB"/>
        </w:rPr>
        <w:t xml:space="preserve">. </w:t>
      </w:r>
      <w:r w:rsidRPr="00811AE5">
        <w:rPr>
          <w:rFonts w:ascii="Times New Roman" w:eastAsia="Times New Roman" w:hAnsi="Times New Roman" w:cs="Times New Roman"/>
          <w:i/>
          <w:iCs/>
          <w:sz w:val="24"/>
          <w:szCs w:val="24"/>
          <w:lang w:val="en-GB"/>
        </w:rPr>
        <w:t>»</w:t>
      </w:r>
      <w:r>
        <w:rPr>
          <w:rFonts w:ascii="Times New Roman" w:eastAsia="Times New Roman" w:hAnsi="Times New Roman" w:cs="Times New Roman"/>
          <w:sz w:val="24"/>
          <w:szCs w:val="24"/>
          <w:vertAlign w:val="superscript"/>
        </w:rPr>
        <w:footnoteReference w:id="59"/>
      </w:r>
    </w:p>
    <w:p w14:paraId="000000AD" w14:textId="0E205349" w:rsidR="00135230" w:rsidRDefault="00000000">
      <w:pPr>
        <w:spacing w:after="2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Au niveau africain, sans faire directement référence au principe de l’interprétation la plus favorable, la Cour constitutionnelle d’Ouganda </w:t>
      </w:r>
      <w:r w:rsidR="00E43110">
        <w:rPr>
          <w:rFonts w:ascii="Times New Roman" w:eastAsia="Times New Roman" w:hAnsi="Times New Roman" w:cs="Times New Roman"/>
          <w:sz w:val="24"/>
          <w:szCs w:val="24"/>
          <w:highlight w:val="white"/>
        </w:rPr>
        <w:t>évoque le devoir d’interpréter la loi de la façon</w:t>
      </w:r>
      <w:r>
        <w:rPr>
          <w:rFonts w:ascii="Times New Roman" w:eastAsia="Times New Roman" w:hAnsi="Times New Roman" w:cs="Times New Roman"/>
          <w:sz w:val="24"/>
          <w:szCs w:val="24"/>
          <w:highlight w:val="white"/>
        </w:rPr>
        <w:t xml:space="preserve"> la plus respectueuse des droits et libertés de la personne, ce qui inclut par exemple le droit à la vie privée et familiale et donc le droit d’entretenir des relations consensuelles avec les personnes de son choix. En effet, dans son arrêt</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Olara Otunnu c. Procureur général</w:t>
      </w:r>
      <w:r>
        <w:rPr>
          <w:rFonts w:ascii="Times New Roman" w:eastAsia="Times New Roman" w:hAnsi="Times New Roman" w:cs="Times New Roman"/>
          <w:sz w:val="24"/>
          <w:szCs w:val="24"/>
        </w:rPr>
        <w:t xml:space="preserve">, la Cour énonce : </w:t>
      </w:r>
    </w:p>
    <w:p w14:paraId="000000B0" w14:textId="7D8641EC" w:rsidR="00135230" w:rsidRPr="00DF095D" w:rsidRDefault="00000000" w:rsidP="00DF095D">
      <w:pPr>
        <w:spacing w:after="200"/>
        <w:jc w:val="both"/>
        <w:rPr>
          <w:rFonts w:ascii="Times New Roman" w:eastAsia="Times New Roman" w:hAnsi="Times New Roman" w:cs="Times New Roman"/>
          <w:sz w:val="24"/>
          <w:szCs w:val="24"/>
        </w:rPr>
      </w:pPr>
      <w:r w:rsidRPr="00811AE5">
        <w:rPr>
          <w:rFonts w:ascii="Times New Roman" w:eastAsia="Times New Roman" w:hAnsi="Times New Roman" w:cs="Times New Roman"/>
          <w:i/>
          <w:iCs/>
          <w:sz w:val="24"/>
          <w:szCs w:val="24"/>
          <w:lang w:val="en-GB"/>
        </w:rPr>
        <w:t xml:space="preserve">« </w:t>
      </w:r>
      <w:r w:rsidRPr="00811AE5">
        <w:rPr>
          <w:rFonts w:ascii="Times New Roman" w:eastAsia="Times New Roman" w:hAnsi="Times New Roman" w:cs="Times New Roman"/>
          <w:b/>
          <w:bCs/>
          <w:i/>
          <w:iCs/>
          <w:sz w:val="24"/>
          <w:szCs w:val="24"/>
          <w:highlight w:val="white"/>
          <w:u w:val="single"/>
          <w:lang w:val="en-GB"/>
        </w:rPr>
        <w:t xml:space="preserve">Dans l’interprétation des dispositions contestées, nous sommes tenus </w:t>
      </w:r>
      <w:r w:rsidRPr="00811AE5">
        <w:rPr>
          <w:rFonts w:ascii="Times New Roman" w:eastAsia="Times New Roman" w:hAnsi="Times New Roman" w:cs="Times New Roman"/>
          <w:i/>
          <w:iCs/>
          <w:sz w:val="24"/>
          <w:szCs w:val="24"/>
          <w:highlight w:val="white"/>
          <w:lang w:val="en-GB"/>
        </w:rPr>
        <w:t xml:space="preserve">non seulement d’éviter une interprétation qui entrerait en conflit avec les valeurs, les objectifs et les principes constitutionnels, mais aussi </w:t>
      </w:r>
      <w:r w:rsidRPr="00811AE5">
        <w:rPr>
          <w:rFonts w:ascii="Times New Roman" w:eastAsia="Times New Roman" w:hAnsi="Times New Roman" w:cs="Times New Roman"/>
          <w:b/>
          <w:bCs/>
          <w:i/>
          <w:iCs/>
          <w:sz w:val="24"/>
          <w:szCs w:val="24"/>
          <w:highlight w:val="white"/>
          <w:u w:val="single"/>
          <w:lang w:val="en-GB"/>
        </w:rPr>
        <w:t>de rechercher un sens des dispositions</w:t>
      </w:r>
      <w:r w:rsidRPr="00811AE5">
        <w:rPr>
          <w:rFonts w:ascii="Times New Roman" w:eastAsia="Times New Roman" w:hAnsi="Times New Roman" w:cs="Times New Roman"/>
          <w:i/>
          <w:iCs/>
          <w:sz w:val="24"/>
          <w:szCs w:val="24"/>
          <w:highlight w:val="white"/>
          <w:lang w:val="en-GB"/>
        </w:rPr>
        <w:t xml:space="preserve"> qui promeuve les objectifs, valeurs et principes constitutionnels et </w:t>
      </w:r>
      <w:r w:rsidRPr="00811AE5">
        <w:rPr>
          <w:rFonts w:ascii="Times New Roman" w:eastAsia="Times New Roman" w:hAnsi="Times New Roman" w:cs="Times New Roman"/>
          <w:b/>
          <w:bCs/>
          <w:i/>
          <w:iCs/>
          <w:sz w:val="24"/>
          <w:szCs w:val="24"/>
          <w:highlight w:val="white"/>
          <w:u w:val="single"/>
          <w:lang w:val="en-GB"/>
        </w:rPr>
        <w:t>qui fasse progresser l’État de droit, les droits humains et les libertés fondamentales consacrés par la Déclaration des droits</w:t>
      </w:r>
      <w:r w:rsidRPr="00811AE5">
        <w:rPr>
          <w:rFonts w:ascii="Times New Roman" w:eastAsia="Times New Roman" w:hAnsi="Times New Roman" w:cs="Times New Roman"/>
          <w:i/>
          <w:iCs/>
          <w:sz w:val="24"/>
          <w:szCs w:val="24"/>
          <w:highlight w:val="white"/>
          <w:lang w:val="en-GB"/>
        </w:rPr>
        <w:t xml:space="preserve">. </w:t>
      </w:r>
      <w:r>
        <w:rPr>
          <w:rFonts w:ascii="Times New Roman" w:eastAsia="Times New Roman" w:hAnsi="Times New Roman" w:cs="Times New Roman"/>
          <w:i/>
          <w:iCs/>
          <w:sz w:val="24"/>
          <w:szCs w:val="24"/>
          <w:highlight w:val="white"/>
        </w:rPr>
        <w:t xml:space="preserve">[...] </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vertAlign w:val="superscript"/>
        </w:rPr>
        <w:footnoteReference w:id="60"/>
      </w:r>
    </w:p>
    <w:p w14:paraId="000000B7" w14:textId="55DEF5FF" w:rsidR="00135230" w:rsidRDefault="00135230">
      <w:pPr>
        <w:spacing w:after="200"/>
        <w:jc w:val="both"/>
      </w:pPr>
    </w:p>
    <w:sectPr w:rsidR="00135230">
      <w:pgSz w:w="11909" w:h="16834"/>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hivan Patroo" w:date="2026-06-05T09:28:00Z" w:initials="">
    <w:p w14:paraId="00000106"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formulation très "juridique" qui m'a demandé un effort de réflexion pour comprendre le sens  de la phrase. Est-ce qu'il ne faudrait pas reformuler afin que ce soit plus accessible ?</w:t>
      </w:r>
    </w:p>
  </w:comment>
  <w:comment w:id="1" w:author="Shivan Patroo" w:date="2026-06-05T09:37:00Z" w:initials="">
    <w:p w14:paraId="00000109"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les JP, si leurs restitutions sont fidèles aux arrêts invoqués, sont cohérentes avec le propos de la note</w:t>
      </w:r>
    </w:p>
  </w:comment>
  <w:comment w:id="2" w:author="Camille Schaltenbrand" w:date="2026-06-08T10:36:00Z" w:initials="CS">
    <w:p w14:paraId="431824A6" w14:textId="77777777" w:rsidR="0058563D" w:rsidRDefault="0058563D" w:rsidP="0058563D">
      <w:r>
        <w:rPr>
          <w:rStyle w:val="Marquedecommentaire"/>
        </w:rPr>
        <w:annotationRef/>
      </w:r>
      <w:r>
        <w:rPr>
          <w:sz w:val="20"/>
          <w:szCs w:val="20"/>
        </w:rPr>
        <w:t xml:space="preserve">Pour ces JP, il me faudrait les extraits exacts pour la précision. </w:t>
      </w:r>
    </w:p>
  </w:comment>
  <w:comment w:id="3" w:author="Camille Schaltenbrand" w:date="2026-06-04T17:34:00Z" w:initials="">
    <w:p w14:paraId="000000FD"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Cette phrase n’a pas de sens</w:t>
      </w:r>
    </w:p>
  </w:comment>
  <w:comment w:id="4" w:author="Shivan Patroo" w:date="2026-06-05T13:01:00Z" w:initials="">
    <w:p w14:paraId="000000FE"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j'avais compris le sens de la phrase initiale, mais j'ai essayé de reformuler, est ce que ça va mieux ?</w:t>
      </w:r>
    </w:p>
  </w:comment>
  <w:comment w:id="5" w:author="Camille Schaltenbrand" w:date="2026-06-04T17:45:00Z" w:initials="">
    <w:p w14:paraId="0000010C"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Besoin de citation directe</w:t>
      </w:r>
    </w:p>
  </w:comment>
  <w:comment w:id="6" w:author="Shivan Patroo" w:date="2026-06-05T13:24:00Z" w:initials="">
    <w:p w14:paraId="0000010D"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check</w:t>
      </w:r>
    </w:p>
  </w:comment>
  <w:comment w:id="7" w:author="Camille Schaltenbrand" w:date="2026-06-04T17:48:00Z" w:initials="">
    <w:p w14:paraId="00000101"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Citations exactes??</w:t>
      </w:r>
    </w:p>
  </w:comment>
  <w:comment w:id="8" w:author="Shivan Patroo" w:date="2026-06-05T14:07:00Z" w:initials="">
    <w:p w14:paraId="00000102"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J'ai supprimé la JP d'avant qui ne parlait par de lex stricta. Je t'ai mis les citations exactes en note de bas de page.</w:t>
      </w:r>
    </w:p>
  </w:comment>
  <w:comment w:id="9" w:author="Camille Schaltenbrand" w:date="2026-06-04T17:50:00Z" w:initials="">
    <w:p w14:paraId="00000107"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Citations??</w:t>
      </w:r>
    </w:p>
  </w:comment>
  <w:comment w:id="10" w:author="Shivan Patroo" w:date="2026-06-05T14:47:00Z" w:initials="">
    <w:p w14:paraId="00000108"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j'ai supprimé la mention de la Cour de Lesotho, je n'ai pas trouvé de citation dans l'arrêt qui parlait de ce propos</w:t>
      </w:r>
    </w:p>
  </w:comment>
  <w:comment w:id="11" w:author="Camille Schaltenbrand" w:date="2026-06-04T17:51:00Z" w:initials="">
    <w:p w14:paraId="0000010E"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 Qu’est ce que c’est que cet encadré étrange? Et ce raisonnement n’est pas nouveau, c’est le raisonnement transversal de l’intégralité de l’argumentaire</w:t>
      </w:r>
    </w:p>
  </w:comment>
  <w:comment w:id="12" w:author="Shivan Patroo" w:date="2026-06-05T15:06:00Z" w:initials="">
    <w:p w14:paraId="0000010F" w14:textId="77777777" w:rsidR="00135230" w:rsidRDefault="00403261">
      <w:pPr>
        <w:widowControl w:val="0"/>
        <w:pBdr>
          <w:top w:val="nil"/>
          <w:left w:val="nil"/>
          <w:bottom w:val="nil"/>
          <w:right w:val="nil"/>
          <w:between w:val="nil"/>
        </w:pBdr>
        <w:spacing w:line="240" w:lineRule="auto"/>
        <w:rPr>
          <w:color w:val="000000"/>
        </w:rPr>
      </w:pPr>
      <w:r>
        <w:rPr>
          <w:rStyle w:val="Marquedecommentaire"/>
        </w:rPr>
        <w:annotationRef/>
      </w:r>
      <w:r>
        <w:rPr>
          <w:color w:val="000000"/>
        </w:rPr>
        <w:t>j'ai essayé de reformuler et j'ai bougé le paragraphe à la fin pour en faire une sorte de conclusion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06" w15:done="1"/>
  <w15:commentEx w15:paraId="00000109" w15:done="1"/>
  <w15:commentEx w15:paraId="431824A6" w15:done="0"/>
  <w15:commentEx w15:paraId="000000FD" w15:done="1"/>
  <w15:commentEx w15:paraId="000000FE" w15:paraIdParent="000000FD" w15:done="1"/>
  <w15:commentEx w15:paraId="0000010C" w15:done="1"/>
  <w15:commentEx w15:paraId="0000010D" w15:paraIdParent="0000010C" w15:done="1"/>
  <w15:commentEx w15:paraId="00000101" w15:done="1"/>
  <w15:commentEx w15:paraId="00000102" w15:paraIdParent="00000101" w15:done="1"/>
  <w15:commentEx w15:paraId="00000107" w15:done="1"/>
  <w15:commentEx w15:paraId="00000108" w15:paraIdParent="00000107" w15:done="1"/>
  <w15:commentEx w15:paraId="0000010E" w15:done="1"/>
  <w15:commentEx w15:paraId="0000010F" w15:paraIdParent="0000010E"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0000106">
    <w16cex:extLst>
      <w16:ext w16:uri="{CE6994B0-6A32-4C9F-8C6B-6E91EDA988CE}">
        <cr:reactions xmlns:cr="http://schemas.microsoft.com/office/comments/2020/reactions">
          <cr:reaction reactionType="1">
            <cr:reactionInfo dateUtc="2026-06-08T08:33:14Z">
              <cr:user userId="S::camille.schaltenbrand@stophomophobie.com::e334c791-3ab8-4527-b042-837351bfa82b" userProvider="AD" userName="Camille Schaltenbrand"/>
            </cr:reactionInfo>
          </cr:reaction>
        </cr:reactions>
      </w16:ext>
    </w16cex:extLst>
  </w16cex:commentExtensible>
  <w16cex:commentExtensible w16cex:durableId="77D7894A" w16cex:dateUtc="2026-06-08T08: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06" w16cid:durableId="00000106"/>
  <w16cid:commentId w16cid:paraId="00000109" w16cid:durableId="00000109"/>
  <w16cid:commentId w16cid:paraId="431824A6" w16cid:durableId="77D7894A"/>
  <w16cid:commentId w16cid:paraId="000000FD" w16cid:durableId="000000FD"/>
  <w16cid:commentId w16cid:paraId="000000FE" w16cid:durableId="000000FE"/>
  <w16cid:commentId w16cid:paraId="0000010C" w16cid:durableId="0000010C"/>
  <w16cid:commentId w16cid:paraId="0000010D" w16cid:durableId="0000010D"/>
  <w16cid:commentId w16cid:paraId="00000101" w16cid:durableId="00000101"/>
  <w16cid:commentId w16cid:paraId="00000102" w16cid:durableId="00000102"/>
  <w16cid:commentId w16cid:paraId="00000107" w16cid:durableId="00000107"/>
  <w16cid:commentId w16cid:paraId="00000108" w16cid:durableId="00000108"/>
  <w16cid:commentId w16cid:paraId="0000010E" w16cid:durableId="0000010E"/>
  <w16cid:commentId w16cid:paraId="0000010F" w16cid:durableId="000001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73577" w14:textId="77777777" w:rsidR="00A76D5C" w:rsidRDefault="00A76D5C">
      <w:pPr>
        <w:spacing w:line="240" w:lineRule="auto"/>
      </w:pPr>
      <w:r>
        <w:separator/>
      </w:r>
    </w:p>
  </w:endnote>
  <w:endnote w:type="continuationSeparator" w:id="0">
    <w:p w14:paraId="1F98C4C4" w14:textId="77777777" w:rsidR="00A76D5C" w:rsidRDefault="00A76D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BE29DB1-3728-4C39-BF80-C246CC2FEE33}"/>
    <w:embedBold r:id="rId2" w:fontKey="{FE703286-3FAE-4F4B-B80E-AD4581530485}"/>
  </w:font>
  <w:font w:name="Cambria">
    <w:panose1 w:val="02040503050406030204"/>
    <w:charset w:val="00"/>
    <w:family w:val="roman"/>
    <w:pitch w:val="variable"/>
    <w:sig w:usb0="E00006FF" w:usb1="420024FF" w:usb2="02000000" w:usb3="00000000" w:csb0="0000019F" w:csb1="00000000"/>
    <w:embedRegular r:id="rId3" w:fontKey="{A87C44E4-BD13-48B6-A181-66FE5542D2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B0E0E" w14:textId="77777777" w:rsidR="00A76D5C" w:rsidRDefault="00A76D5C">
      <w:pPr>
        <w:spacing w:line="240" w:lineRule="auto"/>
      </w:pPr>
      <w:r>
        <w:separator/>
      </w:r>
    </w:p>
  </w:footnote>
  <w:footnote w:type="continuationSeparator" w:id="0">
    <w:p w14:paraId="1642CED8" w14:textId="77777777" w:rsidR="00A76D5C" w:rsidRDefault="00A76D5C">
      <w:pPr>
        <w:spacing w:line="240" w:lineRule="auto"/>
      </w:pPr>
      <w:r>
        <w:continuationSeparator/>
      </w:r>
    </w:p>
  </w:footnote>
  <w:footnote w:id="1">
    <w:p w14:paraId="000000B8" w14:textId="77777777" w:rsidR="00135230" w:rsidRPr="00811AE5" w:rsidRDefault="00000000">
      <w:pPr>
        <w:pBdr>
          <w:top w:val="nil"/>
          <w:left w:val="nil"/>
          <w:bottom w:val="nil"/>
          <w:right w:val="nil"/>
          <w:between w:val="nil"/>
        </w:pBdr>
        <w:spacing w:line="240" w:lineRule="auto"/>
        <w:rPr>
          <w:color w:val="000000"/>
          <w:sz w:val="20"/>
          <w:szCs w:val="20"/>
          <w:lang w:val="en-GB"/>
        </w:rPr>
      </w:pPr>
      <w:r>
        <w:rPr>
          <w:vertAlign w:val="superscript"/>
        </w:rPr>
        <w:footnoteRef/>
      </w:r>
      <w:r w:rsidRPr="00811AE5">
        <w:rPr>
          <w:color w:val="000000"/>
          <w:sz w:val="20"/>
          <w:szCs w:val="20"/>
          <w:lang w:val="en-GB"/>
        </w:rPr>
        <w:t xml:space="preserve"> </w:t>
      </w:r>
      <w:r w:rsidRPr="00811AE5">
        <w:rPr>
          <w:rFonts w:ascii="Times New Roman" w:eastAsia="Times New Roman" w:hAnsi="Times New Roman" w:cs="Times New Roman"/>
          <w:color w:val="000000"/>
          <w:sz w:val="20"/>
          <w:szCs w:val="20"/>
          <w:lang w:val="en-GB"/>
        </w:rPr>
        <w:t xml:space="preserve">Voir Jessica Lynn Corsi, « Plaidoyer pour une légalité stricte en droit pénal international » (2018) 49 Revue de droit international de Georgetown 1326 ; </w:t>
      </w:r>
    </w:p>
  </w:footnote>
  <w:footnote w:id="2">
    <w:p w14:paraId="000000B9" w14:textId="77777777" w:rsidR="00135230" w:rsidRPr="00811AE5" w:rsidRDefault="00000000">
      <w:pPr>
        <w:pBdr>
          <w:top w:val="nil"/>
          <w:left w:val="nil"/>
          <w:bottom w:val="nil"/>
          <w:right w:val="nil"/>
          <w:between w:val="nil"/>
        </w:pBdr>
        <w:spacing w:line="240" w:lineRule="auto"/>
        <w:rPr>
          <w:color w:val="000000"/>
          <w:sz w:val="20"/>
          <w:szCs w:val="20"/>
          <w:lang w:val="en-GB"/>
        </w:rPr>
      </w:pPr>
      <w:r>
        <w:rPr>
          <w:vertAlign w:val="superscript"/>
        </w:rPr>
        <w:footnoteRef/>
      </w:r>
      <w:r w:rsidRPr="00811AE5">
        <w:rPr>
          <w:color w:val="000000"/>
          <w:sz w:val="20"/>
          <w:szCs w:val="20"/>
          <w:lang w:val="en-GB"/>
        </w:rPr>
        <w:t xml:space="preserve"> </w:t>
      </w:r>
      <w:r w:rsidRPr="00811AE5">
        <w:rPr>
          <w:rFonts w:ascii="Times New Roman" w:eastAsia="Times New Roman" w:hAnsi="Times New Roman" w:cs="Times New Roman"/>
          <w:color w:val="000000"/>
          <w:sz w:val="20"/>
          <w:szCs w:val="20"/>
          <w:lang w:val="en-GB"/>
        </w:rPr>
        <w:t xml:space="preserve">Voir également Alejandro Lerena García, Le principe de légalité en droit international : étude pour la réconciliation de la justice et de la légalité (thèse, Universidad Carlos III de Madrid, 2023) </w:t>
      </w:r>
    </w:p>
  </w:footnote>
  <w:footnote w:id="3">
    <w:p w14:paraId="000000BA" w14:textId="77777777" w:rsidR="00135230" w:rsidRPr="00811AE5" w:rsidRDefault="00000000">
      <w:pPr>
        <w:pBdr>
          <w:top w:val="nil"/>
          <w:left w:val="nil"/>
          <w:bottom w:val="nil"/>
          <w:right w:val="nil"/>
          <w:between w:val="nil"/>
        </w:pBdr>
        <w:spacing w:line="240" w:lineRule="auto"/>
        <w:rPr>
          <w:color w:val="000000"/>
          <w:sz w:val="20"/>
          <w:szCs w:val="20"/>
          <w:lang w:val="en-GB"/>
        </w:rPr>
      </w:pPr>
      <w:r>
        <w:rPr>
          <w:vertAlign w:val="superscript"/>
        </w:rPr>
        <w:footnoteRef/>
      </w:r>
      <w:r w:rsidRPr="00811AE5">
        <w:rPr>
          <w:color w:val="000000"/>
          <w:sz w:val="20"/>
          <w:szCs w:val="20"/>
          <w:lang w:val="en-GB"/>
        </w:rPr>
        <w:t xml:space="preserve"> </w:t>
      </w:r>
      <w:r w:rsidRPr="00811AE5">
        <w:rPr>
          <w:rFonts w:ascii="Times New Roman" w:eastAsia="Times New Roman" w:hAnsi="Times New Roman" w:cs="Times New Roman"/>
          <w:color w:val="000000"/>
          <w:sz w:val="20"/>
          <w:szCs w:val="20"/>
          <w:lang w:val="en-GB"/>
        </w:rPr>
        <w:t>Alejandro Lerena García, Le principe de légalité en droit international : étude pour la réconciliation de la justice et de la légalité (thèse, Universidad Carlos III de Madrid, 2023), partie III chapitre 6</w:t>
      </w:r>
    </w:p>
  </w:footnote>
  <w:footnote w:id="4">
    <w:p w14:paraId="000000BB"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Comité des droits de l’Homme, </w:t>
      </w:r>
      <w:r>
        <w:rPr>
          <w:rFonts w:ascii="Times New Roman" w:eastAsia="Times New Roman" w:hAnsi="Times New Roman" w:cs="Times New Roman"/>
          <w:i/>
          <w:iCs/>
          <w:sz w:val="20"/>
          <w:szCs w:val="20"/>
        </w:rPr>
        <w:t>Observation générale n° 29 : États d’urgence (art. 4)</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CCPR/C/21/Rev.1/Add.11, 31 août 2001,</w:t>
      </w:r>
      <w:r>
        <w:rPr>
          <w:rFonts w:ascii="Times New Roman" w:eastAsia="Times New Roman" w:hAnsi="Times New Roman" w:cs="Times New Roman"/>
          <w:sz w:val="20"/>
          <w:szCs w:val="20"/>
        </w:rPr>
        <w:t xml:space="preserve"> paragr. 7.</w:t>
      </w:r>
    </w:p>
  </w:footnote>
  <w:footnote w:id="5">
    <w:p w14:paraId="000000BC" w14:textId="77777777" w:rsidR="00135230"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highlight w:val="white"/>
        </w:rPr>
        <w:t>Cour européenne des droits de l’homme, Guide sur l’article 7 de la Convention européenne des droits de l’homme (« Pas de peine sans loi »), série des Guides sur la jurisprudence, Conseil de l’Europe</w:t>
      </w:r>
      <w:r>
        <w:rPr>
          <w:rFonts w:ascii="Times New Roman" w:eastAsia="Times New Roman" w:hAnsi="Times New Roman" w:cs="Times New Roman"/>
          <w:color w:val="000000"/>
          <w:sz w:val="20"/>
          <w:szCs w:val="20"/>
        </w:rPr>
        <w:t>, paragr. 2</w:t>
      </w:r>
    </w:p>
  </w:footnote>
  <w:footnote w:id="6">
    <w:p w14:paraId="000000BD" w14:textId="77777777" w:rsidR="00135230" w:rsidRDefault="00000000">
      <w:pPr>
        <w:spacing w:line="240" w:lineRule="auto"/>
        <w:rPr>
          <w:rFonts w:ascii="Times New Roman" w:eastAsia="Times New Roman" w:hAnsi="Times New Roman" w:cs="Times New Roman"/>
          <w:sz w:val="20"/>
          <w:szCs w:val="20"/>
          <w:highlight w:val="white"/>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 xml:space="preserve">« La définition d'un crime est d'interprétation stricte et ne peut être étendue par analogie. En cas d'ambiguïté, elle est interprétée en faveur de la personne qui fait l'objet d'une enquête, de poursuites ou d'une condamnation.», Statut de Rome, article 22, alinéa 2. </w:t>
      </w:r>
    </w:p>
  </w:footnote>
  <w:footnote w:id="7">
    <w:p w14:paraId="000000BE"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highlight w:val="white"/>
        </w:rPr>
        <w:t xml:space="preserve"> « Les principes généraux de droit (...) peuvent s’entendre comme des ‘normes juridiques non écrites, générales et impersonnelles, et acceptables par les juristes formés à tous les grands systèmes de droit actuels, bien qu’elles n’aient pas encore reçu d’application concrète’ », </w:t>
      </w:r>
      <w:r>
        <w:rPr>
          <w:rFonts w:ascii="Times New Roman" w:eastAsia="Times New Roman" w:hAnsi="Times New Roman" w:cs="Times New Roman"/>
          <w:sz w:val="20"/>
          <w:szCs w:val="20"/>
        </w:rPr>
        <w:t xml:space="preserve">A. PELLET, </w:t>
      </w:r>
      <w:r>
        <w:rPr>
          <w:rFonts w:ascii="Times New Roman" w:eastAsia="Times New Roman" w:hAnsi="Times New Roman" w:cs="Times New Roman"/>
          <w:i/>
          <w:iCs/>
          <w:sz w:val="20"/>
          <w:szCs w:val="20"/>
        </w:rPr>
        <w:t>Recherches sur les principes généraux de droit en droit international</w:t>
      </w:r>
      <w:r>
        <w:rPr>
          <w:rFonts w:ascii="Times New Roman" w:eastAsia="Times New Roman" w:hAnsi="Times New Roman" w:cs="Times New Roman"/>
          <w:sz w:val="20"/>
          <w:szCs w:val="20"/>
        </w:rPr>
        <w:t>, Thèse, Paris, 1974, p.9.</w:t>
      </w:r>
    </w:p>
    <w:p w14:paraId="000000BF" w14:textId="77777777" w:rsidR="00135230" w:rsidRDefault="00135230">
      <w:pPr>
        <w:spacing w:line="240" w:lineRule="auto"/>
        <w:rPr>
          <w:rFonts w:ascii="Times New Roman" w:eastAsia="Times New Roman" w:hAnsi="Times New Roman" w:cs="Times New Roman"/>
          <w:sz w:val="20"/>
          <w:szCs w:val="20"/>
          <w:highlight w:val="white"/>
        </w:rPr>
      </w:pPr>
    </w:p>
  </w:footnote>
  <w:footnote w:id="8">
    <w:p w14:paraId="000000C0"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Cour de justice des communautés européennes, </w:t>
      </w:r>
      <w:r>
        <w:rPr>
          <w:rFonts w:ascii="Times New Roman" w:eastAsia="Times New Roman" w:hAnsi="Times New Roman" w:cs="Times New Roman"/>
          <w:i/>
          <w:iCs/>
          <w:sz w:val="20"/>
          <w:szCs w:val="20"/>
          <w:highlight w:val="white"/>
        </w:rPr>
        <w:t>Degussa</w:t>
      </w:r>
      <w:r>
        <w:rPr>
          <w:rFonts w:ascii="Times New Roman" w:eastAsia="Times New Roman" w:hAnsi="Times New Roman" w:cs="Times New Roman"/>
          <w:sz w:val="20"/>
          <w:szCs w:val="20"/>
          <w:highlight w:val="white"/>
        </w:rPr>
        <w:t>, arrêt, C-266/06 P, 22 mai 2008, points 38-39.</w:t>
      </w:r>
    </w:p>
  </w:footnote>
  <w:footnote w:id="9">
    <w:p w14:paraId="000000C1" w14:textId="77777777" w:rsidR="00135230" w:rsidRDefault="00000000">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Pr>
          <w:rFonts w:ascii="Times New Roman" w:eastAsia="Times New Roman" w:hAnsi="Times New Roman" w:cs="Times New Roman"/>
          <w:color w:val="000000"/>
          <w:sz w:val="20"/>
          <w:szCs w:val="20"/>
          <w:highlight w:val="white"/>
        </w:rPr>
        <w:t>Cour de justice des communautés européennes</w:t>
      </w:r>
      <w:r>
        <w:rPr>
          <w:rFonts w:ascii="Times New Roman" w:eastAsia="Times New Roman" w:hAnsi="Times New Roman" w:cs="Times New Roman"/>
          <w:color w:val="000000"/>
          <w:sz w:val="20"/>
          <w:szCs w:val="20"/>
        </w:rPr>
        <w:t>, M.A.S. et M.B, arrêt, C-42/17, 5 décembre 2017, paras 19, 55 et 56</w:t>
      </w:r>
    </w:p>
  </w:footnote>
  <w:footnote w:id="10">
    <w:p w14:paraId="365AFBDB" w14:textId="3EC1D172" w:rsidR="00824F0F" w:rsidRPr="00824F0F" w:rsidRDefault="00824F0F">
      <w:pPr>
        <w:pStyle w:val="Notedebasdepage"/>
        <w:rPr>
          <w:lang w:val="fr-FR"/>
        </w:rPr>
      </w:pPr>
      <w:r>
        <w:rPr>
          <w:rStyle w:val="Appelnotedebasdep"/>
        </w:rPr>
        <w:footnoteRef/>
      </w:r>
      <w:r>
        <w:t xml:space="preserve"> </w:t>
      </w:r>
      <w:r w:rsidRPr="00824F0F">
        <w:rPr>
          <w:rFonts w:ascii="Times New Roman" w:eastAsia="Times New Roman" w:hAnsi="Times New Roman" w:cs="Times New Roman"/>
          <w:color w:val="000000"/>
          <w:highlight w:val="white"/>
        </w:rPr>
        <w:t>Cour européenne des droits de l’homme, Kokkinakis c. Grèce, requête n° 14307/88, arrêt du 25 mai 1993, série A n° 260-A, § 52</w:t>
      </w:r>
    </w:p>
  </w:footnote>
  <w:footnote w:id="11">
    <w:p w14:paraId="000000C2" w14:textId="2A9E84F3"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sidR="00931795">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Commission du droit international, </w:t>
      </w:r>
      <w:r>
        <w:rPr>
          <w:rFonts w:ascii="Times New Roman" w:eastAsia="Times New Roman" w:hAnsi="Times New Roman" w:cs="Times New Roman"/>
          <w:i/>
          <w:iCs/>
          <w:sz w:val="20"/>
          <w:szCs w:val="20"/>
        </w:rPr>
        <w:t>Projets de conclusions sur la détermination du droit international et commentaires y relatif</w:t>
      </w:r>
      <w:r>
        <w:rPr>
          <w:rFonts w:ascii="Times New Roman" w:eastAsia="Times New Roman" w:hAnsi="Times New Roman" w:cs="Times New Roman"/>
          <w:sz w:val="20"/>
          <w:szCs w:val="20"/>
        </w:rPr>
        <w:t>, Annuaire de la Commission du droit international, 2018, vol II(2).</w:t>
      </w:r>
    </w:p>
  </w:footnote>
  <w:footnote w:id="12">
    <w:p w14:paraId="000000C3"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internationale de justice, </w:t>
      </w:r>
      <w:r>
        <w:rPr>
          <w:rFonts w:ascii="Times New Roman" w:eastAsia="Times New Roman" w:hAnsi="Times New Roman" w:cs="Times New Roman"/>
          <w:i/>
          <w:iCs/>
          <w:sz w:val="20"/>
          <w:szCs w:val="20"/>
        </w:rPr>
        <w:t>Immunités juridictionnelles de l’</w:t>
      </w:r>
      <w:r>
        <w:rPr>
          <w:rFonts w:ascii="Times New Roman" w:eastAsia="Times New Roman" w:hAnsi="Times New Roman" w:cs="Times New Roman"/>
          <w:i/>
          <w:iCs/>
          <w:color w:val="1F1F1F"/>
          <w:sz w:val="20"/>
          <w:szCs w:val="20"/>
          <w:highlight w:val="white"/>
        </w:rPr>
        <w:t>État</w:t>
      </w:r>
      <w:r>
        <w:rPr>
          <w:rFonts w:ascii="Times New Roman" w:eastAsia="Times New Roman" w:hAnsi="Times New Roman" w:cs="Times New Roman"/>
          <w:color w:val="1F1F1F"/>
          <w:sz w:val="20"/>
          <w:szCs w:val="20"/>
          <w:highlight w:val="white"/>
        </w:rPr>
        <w:t xml:space="preserve"> (Allemagne c. Italie ; Grèce (intervenant)), arrêt, CIJ Recueil 2012.</w:t>
      </w:r>
    </w:p>
  </w:footnote>
  <w:footnote w:id="13">
    <w:p w14:paraId="000000C4" w14:textId="77777777" w:rsidR="00135230" w:rsidRDefault="00000000">
      <w:pPr>
        <w:spacing w:line="240" w:lineRule="auto"/>
        <w:jc w:val="both"/>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Cour internationale de justice, </w:t>
      </w:r>
      <w:r>
        <w:rPr>
          <w:rFonts w:ascii="Times New Roman" w:eastAsia="Times New Roman" w:hAnsi="Times New Roman" w:cs="Times New Roman"/>
          <w:i/>
          <w:iCs/>
          <w:color w:val="1F1F1F"/>
          <w:sz w:val="20"/>
          <w:szCs w:val="20"/>
          <w:highlight w:val="white"/>
        </w:rPr>
        <w:t>Plateau continental (Jamahiriya arabe libyenne/Malte)</w:t>
      </w:r>
      <w:r>
        <w:rPr>
          <w:rFonts w:ascii="Times New Roman" w:eastAsia="Times New Roman" w:hAnsi="Times New Roman" w:cs="Times New Roman"/>
          <w:color w:val="1F1F1F"/>
          <w:sz w:val="20"/>
          <w:szCs w:val="20"/>
          <w:highlight w:val="white"/>
        </w:rPr>
        <w:t>, arrêt, CIJ Recueil 1985.</w:t>
      </w:r>
    </w:p>
  </w:footnote>
  <w:footnote w:id="14">
    <w:p w14:paraId="000000C5"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Comité international de la Croix Rouge, </w:t>
      </w:r>
      <w:r>
        <w:rPr>
          <w:rFonts w:ascii="Times New Roman" w:eastAsia="Times New Roman" w:hAnsi="Times New Roman" w:cs="Times New Roman"/>
          <w:i/>
          <w:iCs/>
          <w:sz w:val="20"/>
          <w:szCs w:val="20"/>
        </w:rPr>
        <w:t>Droit international humanitaire coutumier : Volume 1 : Règles</w:t>
      </w:r>
      <w:r>
        <w:rPr>
          <w:rFonts w:ascii="Times New Roman" w:eastAsia="Times New Roman" w:hAnsi="Times New Roman" w:cs="Times New Roman"/>
          <w:sz w:val="20"/>
          <w:szCs w:val="20"/>
        </w:rPr>
        <w:t>, Jean-Marie Henckaerts et Louise Doswald-Beck, 2005.</w:t>
      </w:r>
    </w:p>
  </w:footnote>
  <w:footnote w:id="15">
    <w:p w14:paraId="000000C6" w14:textId="77777777" w:rsidR="00135230" w:rsidRPr="00811AE5" w:rsidRDefault="00000000">
      <w:pPr>
        <w:pBdr>
          <w:top w:val="nil"/>
          <w:left w:val="nil"/>
          <w:bottom w:val="nil"/>
          <w:right w:val="nil"/>
          <w:between w:val="nil"/>
        </w:pBdr>
        <w:spacing w:line="240" w:lineRule="auto"/>
        <w:rPr>
          <w:color w:val="000000"/>
          <w:sz w:val="20"/>
          <w:szCs w:val="20"/>
          <w:lang w:val="en-GB"/>
        </w:rPr>
      </w:pPr>
      <w:r>
        <w:rPr>
          <w:vertAlign w:val="superscript"/>
        </w:rPr>
        <w:footnoteRef/>
      </w:r>
      <w:r w:rsidRPr="00811AE5">
        <w:rPr>
          <w:color w:val="000000"/>
          <w:sz w:val="20"/>
          <w:szCs w:val="20"/>
          <w:lang w:val="en-GB"/>
        </w:rPr>
        <w:t xml:space="preserve"> </w:t>
      </w:r>
      <w:r w:rsidRPr="00811AE5">
        <w:rPr>
          <w:rFonts w:ascii="Times New Roman" w:eastAsia="Times New Roman" w:hAnsi="Times New Roman" w:cs="Times New Roman"/>
          <w:color w:val="000000"/>
          <w:sz w:val="20"/>
          <w:szCs w:val="20"/>
          <w:lang w:val="en-GB"/>
        </w:rPr>
        <w:t>Alejandro Lerena García, Le principe de légalité en droit international : étude pour la réconciliation de la justice et de la légalité (thèse, Universidad Carlos III de Madrid, 2023, p. 419</w:t>
      </w:r>
    </w:p>
  </w:footnote>
  <w:footnote w:id="16">
    <w:p w14:paraId="000000C8"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Ouganda, Code pénal, article 145.</w:t>
      </w:r>
    </w:p>
  </w:footnote>
  <w:footnote w:id="17">
    <w:p w14:paraId="000000C9"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Mauritanie, Code pénal, 1983, article 308.</w:t>
      </w:r>
    </w:p>
  </w:footnote>
  <w:footnote w:id="18">
    <w:p w14:paraId="000000CA"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Nigéria, Code pénal, article 217.</w:t>
      </w:r>
    </w:p>
  </w:footnote>
  <w:footnote w:id="19">
    <w:p w14:paraId="000000CB"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Libéria, Code pénal, 1978, article 14.74.</w:t>
      </w:r>
    </w:p>
  </w:footnote>
  <w:footnote w:id="20">
    <w:p w14:paraId="000000CC"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color w:val="1F1F1F"/>
          <w:sz w:val="20"/>
          <w:szCs w:val="20"/>
          <w:highlight w:val="white"/>
        </w:rPr>
        <w:t>Égypte, Loi n° 10/1961 relative à la lutte contre la prostitution en Égypte, articles 9-c et 14. (loi utilisée pour sanctionner les actes homosexuels).</w:t>
      </w:r>
    </w:p>
  </w:footnote>
  <w:footnote w:id="21">
    <w:p w14:paraId="000000CD"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Togo, Code pénal, 2015, article 392.</w:t>
      </w:r>
    </w:p>
  </w:footnote>
  <w:footnote w:id="22">
    <w:p w14:paraId="000000CE"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Comité des droits de l’Homme, </w:t>
      </w:r>
      <w:r>
        <w:rPr>
          <w:rFonts w:ascii="Times New Roman" w:eastAsia="Times New Roman" w:hAnsi="Times New Roman" w:cs="Times New Roman"/>
          <w:i/>
          <w:iCs/>
          <w:sz w:val="20"/>
          <w:szCs w:val="20"/>
          <w:highlight w:val="white"/>
        </w:rPr>
        <w:t>Observation générale n°27 : Liberté de circulation (art.12)</w:t>
      </w:r>
      <w:r>
        <w:rPr>
          <w:rFonts w:ascii="Times New Roman" w:eastAsia="Times New Roman" w:hAnsi="Times New Roman" w:cs="Times New Roman"/>
          <w:sz w:val="20"/>
          <w:szCs w:val="20"/>
          <w:highlight w:val="white"/>
        </w:rPr>
        <w:t>, U.N. Doc. CCPR/C/21/Rev.1/Add.9 (1999)</w:t>
      </w:r>
      <w:r>
        <w:rPr>
          <w:rFonts w:ascii="Times New Roman" w:eastAsia="Times New Roman" w:hAnsi="Times New Roman" w:cs="Times New Roman"/>
          <w:sz w:val="20"/>
          <w:szCs w:val="20"/>
        </w:rPr>
        <w:t>, paragr. 13.</w:t>
      </w:r>
    </w:p>
  </w:footnote>
  <w:footnote w:id="23">
    <w:p w14:paraId="000000CF"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Commission Africaine des droits de l’Homme et des peuples, </w:t>
      </w:r>
      <w:r>
        <w:rPr>
          <w:rFonts w:ascii="Times New Roman" w:eastAsia="Times New Roman" w:hAnsi="Times New Roman" w:cs="Times New Roman"/>
          <w:i/>
          <w:iCs/>
          <w:sz w:val="20"/>
          <w:szCs w:val="20"/>
        </w:rPr>
        <w:t>Principes et directives sur les droits de l’homme et des peuples dans la lutte contre le terrorisme en Afrique</w:t>
      </w:r>
      <w:r>
        <w:rPr>
          <w:rFonts w:ascii="Times New Roman" w:eastAsia="Times New Roman" w:hAnsi="Times New Roman" w:cs="Times New Roman"/>
          <w:sz w:val="20"/>
          <w:szCs w:val="20"/>
        </w:rPr>
        <w:t>, 56ème session ordinaire, 21 avril - 7 mai 2015.</w:t>
      </w:r>
    </w:p>
  </w:footnote>
  <w:footnote w:id="24">
    <w:p w14:paraId="000000D0"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africaine des droits de l’Homme et des peuples, </w:t>
      </w:r>
      <w:r>
        <w:rPr>
          <w:rFonts w:ascii="Times New Roman" w:eastAsia="Times New Roman" w:hAnsi="Times New Roman" w:cs="Times New Roman"/>
          <w:i/>
          <w:iCs/>
          <w:sz w:val="20"/>
          <w:szCs w:val="20"/>
        </w:rPr>
        <w:t>Ingabire Victoire Umuhoza c. République du Rwanda</w:t>
      </w:r>
      <w:r>
        <w:rPr>
          <w:rFonts w:ascii="Times New Roman" w:eastAsia="Times New Roman" w:hAnsi="Times New Roman" w:cs="Times New Roman"/>
          <w:sz w:val="20"/>
          <w:szCs w:val="20"/>
        </w:rPr>
        <w:t>, 24 novembre 2017, requête n°003/2014, paragr. 109.</w:t>
      </w:r>
    </w:p>
  </w:footnote>
  <w:footnote w:id="25">
    <w:p w14:paraId="000000D1"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de justice de la CEDEAO, </w:t>
      </w:r>
      <w:r>
        <w:rPr>
          <w:rFonts w:ascii="Times New Roman" w:eastAsia="Times New Roman" w:hAnsi="Times New Roman" w:cs="Times New Roman"/>
          <w:i/>
          <w:iCs/>
          <w:sz w:val="20"/>
          <w:szCs w:val="20"/>
        </w:rPr>
        <w:t>Amnesty International et autres c. Togo</w:t>
      </w:r>
      <w:r>
        <w:rPr>
          <w:rFonts w:ascii="Times New Roman" w:eastAsia="Times New Roman" w:hAnsi="Times New Roman" w:cs="Times New Roman"/>
          <w:sz w:val="20"/>
          <w:szCs w:val="20"/>
        </w:rPr>
        <w:t>, ECW/CCJ/APP/61/18, 25 juin 2020, paragraphe 20.</w:t>
      </w:r>
    </w:p>
  </w:footnote>
  <w:footnote w:id="26">
    <w:p w14:paraId="4FD09D69" w14:textId="77777777" w:rsidR="000F55CA" w:rsidRDefault="000F55CA" w:rsidP="000F55CA">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interaméricaine des droits de l’Homme, </w:t>
      </w:r>
      <w:r>
        <w:rPr>
          <w:rFonts w:ascii="Times New Roman" w:eastAsia="Times New Roman" w:hAnsi="Times New Roman" w:cs="Times New Roman"/>
          <w:i/>
          <w:iCs/>
          <w:sz w:val="20"/>
          <w:szCs w:val="20"/>
        </w:rPr>
        <w:t>Castillo Petruzzi et Autres</w:t>
      </w:r>
      <w:r>
        <w:rPr>
          <w:rFonts w:ascii="Times New Roman" w:eastAsia="Times New Roman" w:hAnsi="Times New Roman" w:cs="Times New Roman"/>
          <w:sz w:val="20"/>
          <w:szCs w:val="20"/>
        </w:rPr>
        <w:t>, 30 mai 1999, para 121.</w:t>
      </w:r>
    </w:p>
  </w:footnote>
  <w:footnote w:id="27">
    <w:p w14:paraId="1133A787" w14:textId="77777777" w:rsidR="000F55CA" w:rsidRDefault="000F55CA" w:rsidP="000F55CA">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CEDH, Grande chambre, </w:t>
      </w:r>
      <w:r>
        <w:rPr>
          <w:rFonts w:ascii="Times New Roman" w:eastAsia="Times New Roman" w:hAnsi="Times New Roman" w:cs="Times New Roman"/>
          <w:i/>
          <w:iCs/>
          <w:sz w:val="20"/>
          <w:szCs w:val="20"/>
        </w:rPr>
        <w:t>G.I.E.M S.R.L. et autres c. Italie</w:t>
      </w:r>
      <w:r>
        <w:rPr>
          <w:rFonts w:ascii="Times New Roman" w:eastAsia="Times New Roman" w:hAnsi="Times New Roman" w:cs="Times New Roman"/>
          <w:sz w:val="20"/>
          <w:szCs w:val="20"/>
        </w:rPr>
        <w:t>, requête n°1828/06, 28 juin 2018, paragr. 242.</w:t>
      </w:r>
    </w:p>
  </w:footnote>
  <w:footnote w:id="28">
    <w:p w14:paraId="000000D2"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constitutionnelle d’Ouganda, </w:t>
      </w:r>
      <w:r>
        <w:rPr>
          <w:rFonts w:ascii="Times New Roman" w:eastAsia="Times New Roman" w:hAnsi="Times New Roman" w:cs="Times New Roman"/>
          <w:i/>
          <w:iCs/>
          <w:sz w:val="20"/>
          <w:szCs w:val="20"/>
          <w:highlight w:val="white"/>
        </w:rPr>
        <w:t>Francis Tumwesiqe Ateenvi c. Procureur général</w:t>
      </w:r>
      <w:r>
        <w:rPr>
          <w:rFonts w:ascii="Times New Roman" w:eastAsia="Times New Roman" w:hAnsi="Times New Roman" w:cs="Times New Roman"/>
          <w:sz w:val="20"/>
          <w:szCs w:val="20"/>
          <w:highlight w:val="white"/>
        </w:rPr>
        <w:t>, 2 décembre 2022, para 39</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Il est impératif, au regard de la Constitution, qu’une infraction pénale soit définie. Cela signifie qu’elle doit être définie de manière précise, de sorte que ses éléments constitutifs soient clairs pour tous. Ces éléments ou composantes ne doivent pas être ambigus, ni vagues, ni excessivement larges au point de rendre impossible une définition spécifique.)</w:t>
      </w:r>
    </w:p>
  </w:footnote>
  <w:footnote w:id="29">
    <w:p w14:paraId="000000D3"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w:t>
      </w:r>
      <w:r w:rsidRPr="00811AE5">
        <w:rPr>
          <w:rFonts w:ascii="Times New Roman" w:eastAsia="Times New Roman" w:hAnsi="Times New Roman" w:cs="Times New Roman"/>
          <w:sz w:val="20"/>
          <w:szCs w:val="20"/>
          <w:highlight w:val="white"/>
          <w:lang w:val="en-GB"/>
        </w:rPr>
        <w:t xml:space="preserve">Haute Cour du Kenya, </w:t>
      </w:r>
      <w:r w:rsidRPr="00811AE5">
        <w:rPr>
          <w:rFonts w:ascii="Times New Roman" w:eastAsia="Times New Roman" w:hAnsi="Times New Roman" w:cs="Times New Roman"/>
          <w:i/>
          <w:iCs/>
          <w:sz w:val="20"/>
          <w:szCs w:val="20"/>
          <w:highlight w:val="white"/>
          <w:lang w:val="en-GB"/>
        </w:rPr>
        <w:t>EG et 7 autres c. Procureur général DKM et 9 autres</w:t>
      </w:r>
      <w:r w:rsidRPr="00811AE5">
        <w:rPr>
          <w:rFonts w:ascii="Times New Roman" w:eastAsia="Times New Roman" w:hAnsi="Times New Roman" w:cs="Times New Roman"/>
          <w:sz w:val="20"/>
          <w:szCs w:val="20"/>
          <w:highlight w:val="white"/>
          <w:lang w:val="en-GB"/>
        </w:rPr>
        <w:t>, 24 mai 2019, para 275.</w:t>
      </w:r>
    </w:p>
  </w:footnote>
  <w:footnote w:id="30">
    <w:p w14:paraId="000000D4"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w:t>
      </w:r>
      <w:r w:rsidRPr="00811AE5">
        <w:rPr>
          <w:rFonts w:ascii="Times New Roman" w:eastAsia="Times New Roman" w:hAnsi="Times New Roman" w:cs="Times New Roman"/>
          <w:sz w:val="20"/>
          <w:szCs w:val="20"/>
          <w:highlight w:val="white"/>
          <w:lang w:val="en-GB"/>
        </w:rPr>
        <w:t xml:space="preserve">Cour suprême du Ghana, </w:t>
      </w:r>
      <w:r w:rsidRPr="00811AE5">
        <w:rPr>
          <w:rFonts w:ascii="Times New Roman" w:eastAsia="Times New Roman" w:hAnsi="Times New Roman" w:cs="Times New Roman"/>
          <w:i/>
          <w:iCs/>
          <w:sz w:val="20"/>
          <w:szCs w:val="20"/>
          <w:highlight w:val="white"/>
          <w:lang w:val="en-GB"/>
        </w:rPr>
        <w:t>DR. Prince OBIRI-KORANG c. Procureur général</w:t>
      </w:r>
      <w:r w:rsidRPr="00811AE5">
        <w:rPr>
          <w:rFonts w:ascii="Times New Roman" w:eastAsia="Times New Roman" w:hAnsi="Times New Roman" w:cs="Times New Roman"/>
          <w:sz w:val="20"/>
          <w:szCs w:val="20"/>
          <w:highlight w:val="white"/>
          <w:lang w:val="en-GB"/>
        </w:rPr>
        <w:t>, Ordonnance n° J1/18/2021, 24 juillet 2024, paragraphe 53.</w:t>
      </w:r>
    </w:p>
  </w:footnote>
  <w:footnote w:id="31">
    <w:p w14:paraId="000000F5" w14:textId="77777777" w:rsidR="00135230"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highlight w:val="white"/>
        </w:rPr>
        <w:t>Article 5 du “Same-sex prohibition act of 2013” au Nigéria</w:t>
      </w:r>
      <w:r>
        <w:rPr>
          <w:sz w:val="20"/>
          <w:szCs w:val="20"/>
        </w:rPr>
        <w:t xml:space="preserve"> </w:t>
      </w:r>
    </w:p>
  </w:footnote>
  <w:footnote w:id="32">
    <w:p w14:paraId="000000F6" w14:textId="77777777" w:rsidR="00135230"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highlight w:val="white"/>
        </w:rPr>
        <w:t xml:space="preserve"> Article 377B du Code pénal malaisien</w:t>
      </w:r>
    </w:p>
  </w:footnote>
  <w:footnote w:id="33">
    <w:p w14:paraId="000000F7" w14:textId="77777777" w:rsidR="00135230"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highlight w:val="white"/>
        </w:rPr>
        <w:t xml:space="preserve"> Droit de la Sharia non codifié</w:t>
      </w:r>
    </w:p>
  </w:footnote>
  <w:footnote w:id="34">
    <w:p w14:paraId="000000D7" w14:textId="77777777" w:rsidR="00135230" w:rsidRPr="00811AE5" w:rsidRDefault="00000000">
      <w:pPr>
        <w:spacing w:line="240" w:lineRule="auto"/>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Haute Cour d’Ouganda, </w:t>
      </w:r>
      <w:r w:rsidRPr="00811AE5">
        <w:rPr>
          <w:rFonts w:ascii="Times New Roman" w:eastAsia="Times New Roman" w:hAnsi="Times New Roman" w:cs="Times New Roman"/>
          <w:i/>
          <w:iCs/>
          <w:sz w:val="20"/>
          <w:szCs w:val="20"/>
          <w:highlight w:val="white"/>
          <w:lang w:val="en-GB"/>
        </w:rPr>
        <w:t>Ouganda c. Abdalla Nabil</w:t>
      </w:r>
      <w:r w:rsidRPr="00811AE5">
        <w:rPr>
          <w:rFonts w:ascii="Times New Roman" w:eastAsia="Times New Roman" w:hAnsi="Times New Roman" w:cs="Times New Roman"/>
          <w:i/>
          <w:iCs/>
          <w:sz w:val="20"/>
          <w:szCs w:val="20"/>
          <w:lang w:val="en-GB"/>
        </w:rPr>
        <w:t xml:space="preserve"> </w:t>
      </w:r>
      <w:r w:rsidRPr="00811AE5">
        <w:rPr>
          <w:rFonts w:ascii="Times New Roman" w:eastAsia="Times New Roman" w:hAnsi="Times New Roman" w:cs="Times New Roman"/>
          <w:i/>
          <w:iCs/>
          <w:sz w:val="20"/>
          <w:szCs w:val="20"/>
          <w:highlight w:val="white"/>
          <w:lang w:val="en-GB"/>
        </w:rPr>
        <w:t>Salam</w:t>
      </w:r>
      <w:r w:rsidRPr="00811AE5">
        <w:rPr>
          <w:rFonts w:ascii="Times New Roman" w:eastAsia="Times New Roman" w:hAnsi="Times New Roman" w:cs="Times New Roman"/>
          <w:sz w:val="20"/>
          <w:szCs w:val="20"/>
          <w:highlight w:val="white"/>
          <w:lang w:val="en-GB"/>
        </w:rPr>
        <w:t>, action civile n° 4 de 2016, p. 4.</w:t>
      </w:r>
    </w:p>
  </w:footnote>
  <w:footnote w:id="35">
    <w:p w14:paraId="000000D8"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Cour d’appel de Tanzanie, </w:t>
      </w:r>
      <w:r w:rsidRPr="00811AE5">
        <w:rPr>
          <w:rFonts w:ascii="Times New Roman" w:eastAsia="Times New Roman" w:hAnsi="Times New Roman" w:cs="Times New Roman"/>
          <w:sz w:val="20"/>
          <w:szCs w:val="20"/>
          <w:highlight w:val="white"/>
          <w:lang w:val="en-GB"/>
        </w:rPr>
        <w:t>KUKUTIA OLE PUMPUN et un autre c. Procureur général et un autre, Arusha, 1993 TLR 159, 23 juillet 1993, p. 6.</w:t>
      </w:r>
    </w:p>
  </w:footnote>
  <w:footnote w:id="36">
    <w:p w14:paraId="000000D9" w14:textId="77777777" w:rsidR="00135230" w:rsidRDefault="00000000">
      <w:pPr>
        <w:spacing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Cour suprême d’Inde, A. K. Roy c. Union de l’Inde, 28 décembre 1981, pp. 6 et 41.</w:t>
      </w:r>
    </w:p>
  </w:footnote>
  <w:footnote w:id="37">
    <w:p w14:paraId="000000DA"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suprême des États-Unis, </w:t>
      </w:r>
      <w:r>
        <w:rPr>
          <w:rFonts w:ascii="Times New Roman" w:eastAsia="Times New Roman" w:hAnsi="Times New Roman" w:cs="Times New Roman"/>
          <w:i/>
          <w:iCs/>
          <w:sz w:val="20"/>
          <w:szCs w:val="20"/>
          <w:highlight w:val="white"/>
        </w:rPr>
        <w:t>Reno c. American Civil Liberties Union</w:t>
      </w:r>
      <w:r>
        <w:rPr>
          <w:rFonts w:ascii="Times New Roman" w:eastAsia="Times New Roman" w:hAnsi="Times New Roman" w:cs="Times New Roman"/>
          <w:sz w:val="20"/>
          <w:szCs w:val="20"/>
          <w:highlight w:val="white"/>
        </w:rPr>
        <w:t>, 521 U.S 844, 26 juin 1997, p. 845.</w:t>
      </w:r>
    </w:p>
  </w:footnote>
  <w:footnote w:id="38">
    <w:p w14:paraId="000000DB"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européenne des droits de l’Homme, S.W. c. Royaume-Uni, Requête n°20166/92, 22 novembre 1995, para 36.</w:t>
      </w:r>
    </w:p>
  </w:footnote>
  <w:footnote w:id="39">
    <w:p w14:paraId="000000DC"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suprême d’</w:t>
      </w:r>
      <w:r>
        <w:rPr>
          <w:rFonts w:ascii="Times New Roman" w:eastAsia="Times New Roman" w:hAnsi="Times New Roman" w:cs="Times New Roman"/>
          <w:sz w:val="20"/>
          <w:szCs w:val="20"/>
          <w:highlight w:val="white"/>
        </w:rPr>
        <w:t xml:space="preserve">Ouganda, </w:t>
      </w:r>
      <w:r>
        <w:rPr>
          <w:rFonts w:ascii="Times New Roman" w:eastAsia="Times New Roman" w:hAnsi="Times New Roman" w:cs="Times New Roman"/>
          <w:i/>
          <w:iCs/>
          <w:sz w:val="20"/>
          <w:szCs w:val="20"/>
          <w:highlight w:val="white"/>
        </w:rPr>
        <w:t>Procureur général c. Salvatori Abuki</w:t>
      </w:r>
      <w:r>
        <w:rPr>
          <w:rFonts w:ascii="Times New Roman" w:eastAsia="Times New Roman" w:hAnsi="Times New Roman" w:cs="Times New Roman"/>
          <w:sz w:val="20"/>
          <w:szCs w:val="20"/>
          <w:highlight w:val="white"/>
        </w:rPr>
        <w:t xml:space="preserve">, 25 mai 1999, pp. 12 à 18. </w:t>
      </w:r>
    </w:p>
  </w:footnote>
  <w:footnote w:id="40">
    <w:p w14:paraId="000000DD"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w:t>
      </w:r>
      <w:r w:rsidRPr="00811AE5">
        <w:rPr>
          <w:rFonts w:ascii="Times New Roman" w:eastAsia="Times New Roman" w:hAnsi="Times New Roman" w:cs="Times New Roman"/>
          <w:sz w:val="20"/>
          <w:szCs w:val="20"/>
          <w:highlight w:val="white"/>
          <w:lang w:val="en-GB"/>
        </w:rPr>
        <w:t xml:space="preserve">Haute Cour du Kenya, </w:t>
      </w:r>
      <w:r w:rsidRPr="00811AE5">
        <w:rPr>
          <w:rFonts w:ascii="Times New Roman" w:eastAsia="Times New Roman" w:hAnsi="Times New Roman" w:cs="Times New Roman"/>
          <w:i/>
          <w:iCs/>
          <w:sz w:val="20"/>
          <w:szCs w:val="20"/>
          <w:highlight w:val="white"/>
          <w:lang w:val="en-GB"/>
        </w:rPr>
        <w:t>EG et 7 autres c. Procureur général DKM et 9 autres</w:t>
      </w:r>
      <w:r w:rsidRPr="00811AE5">
        <w:rPr>
          <w:rFonts w:ascii="Times New Roman" w:eastAsia="Times New Roman" w:hAnsi="Times New Roman" w:cs="Times New Roman"/>
          <w:sz w:val="20"/>
          <w:szCs w:val="20"/>
          <w:highlight w:val="white"/>
          <w:lang w:val="en-GB"/>
        </w:rPr>
        <w:t>, 24 mai 2019, para 278.</w:t>
      </w:r>
    </w:p>
  </w:footnote>
  <w:footnote w:id="41">
    <w:p w14:paraId="000000DE"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Haute Cour du Botswana, </w:t>
      </w:r>
      <w:r w:rsidRPr="00811AE5">
        <w:rPr>
          <w:rFonts w:ascii="Times New Roman" w:eastAsia="Times New Roman" w:hAnsi="Times New Roman" w:cs="Times New Roman"/>
          <w:i/>
          <w:iCs/>
          <w:sz w:val="20"/>
          <w:szCs w:val="20"/>
          <w:lang w:val="en-GB"/>
        </w:rPr>
        <w:t>Gaolete c. État</w:t>
      </w:r>
      <w:r w:rsidRPr="00811AE5">
        <w:rPr>
          <w:rFonts w:ascii="Times New Roman" w:eastAsia="Times New Roman" w:hAnsi="Times New Roman" w:cs="Times New Roman"/>
          <w:sz w:val="20"/>
          <w:szCs w:val="20"/>
          <w:lang w:val="en-GB"/>
        </w:rPr>
        <w:t>, B.L.R. 325, 1991.</w:t>
      </w:r>
    </w:p>
  </w:footnote>
  <w:footnote w:id="42">
    <w:p w14:paraId="000000DF"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Haute Cour du Kenya, </w:t>
      </w:r>
      <w:r w:rsidRPr="00811AE5">
        <w:rPr>
          <w:rFonts w:ascii="Times New Roman" w:eastAsia="Times New Roman" w:hAnsi="Times New Roman" w:cs="Times New Roman"/>
          <w:i/>
          <w:iCs/>
          <w:sz w:val="20"/>
          <w:szCs w:val="20"/>
          <w:lang w:val="en-GB"/>
        </w:rPr>
        <w:t>John Onzere Kambi c. République</w:t>
      </w:r>
      <w:r w:rsidRPr="00811AE5">
        <w:rPr>
          <w:rFonts w:ascii="Times New Roman" w:eastAsia="Times New Roman" w:hAnsi="Times New Roman" w:cs="Times New Roman"/>
          <w:sz w:val="20"/>
          <w:szCs w:val="20"/>
          <w:lang w:val="en-GB"/>
        </w:rPr>
        <w:t>, [2013] KEHC 1124 (KLR), 2013, p. 4.</w:t>
      </w:r>
    </w:p>
  </w:footnote>
  <w:footnote w:id="43">
    <w:p w14:paraId="000000E0"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européenne des droits de l’Homme, </w:t>
      </w:r>
      <w:r>
        <w:rPr>
          <w:rFonts w:ascii="Times New Roman" w:eastAsia="Times New Roman" w:hAnsi="Times New Roman" w:cs="Times New Roman"/>
          <w:i/>
          <w:iCs/>
          <w:sz w:val="20"/>
          <w:szCs w:val="20"/>
        </w:rPr>
        <w:t>S.W. c. Royaume-Uni</w:t>
      </w:r>
      <w:r>
        <w:rPr>
          <w:rFonts w:ascii="Times New Roman" w:eastAsia="Times New Roman" w:hAnsi="Times New Roman" w:cs="Times New Roman"/>
          <w:sz w:val="20"/>
          <w:szCs w:val="20"/>
        </w:rPr>
        <w:t>, Requête 20166/92, 22 novembre 1995, paragr. 36.</w:t>
      </w:r>
    </w:p>
  </w:footnote>
  <w:footnote w:id="44">
    <w:p w14:paraId="000000E1"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constitutionnelle d’Ouganda, </w:t>
      </w:r>
      <w:r>
        <w:rPr>
          <w:rFonts w:ascii="Times New Roman" w:eastAsia="Times New Roman" w:hAnsi="Times New Roman" w:cs="Times New Roman"/>
          <w:i/>
          <w:iCs/>
          <w:sz w:val="20"/>
          <w:szCs w:val="20"/>
        </w:rPr>
        <w:t>Karamagi et un autre c. Procureur général</w:t>
      </w:r>
      <w:r>
        <w:rPr>
          <w:rFonts w:ascii="Times New Roman" w:eastAsia="Times New Roman" w:hAnsi="Times New Roman" w:cs="Times New Roman"/>
          <w:sz w:val="20"/>
          <w:szCs w:val="20"/>
        </w:rPr>
        <w:t>, Requête constitutionnelle n°5 de 2016, [2023] UGCC 2, 10 janvier 2023, p. 12.</w:t>
      </w:r>
    </w:p>
  </w:footnote>
  <w:footnote w:id="45">
    <w:p w14:paraId="000000E2"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d’appel du Botswana, </w:t>
      </w:r>
      <w:r>
        <w:rPr>
          <w:rFonts w:ascii="Times New Roman" w:eastAsia="Times New Roman" w:hAnsi="Times New Roman" w:cs="Times New Roman"/>
          <w:i/>
          <w:iCs/>
          <w:sz w:val="20"/>
          <w:szCs w:val="20"/>
        </w:rPr>
        <w:t>Dow c. Procureur général</w:t>
      </w:r>
      <w:r>
        <w:rPr>
          <w:rFonts w:ascii="Times New Roman" w:eastAsia="Times New Roman" w:hAnsi="Times New Roman" w:cs="Times New Roman"/>
          <w:sz w:val="20"/>
          <w:szCs w:val="20"/>
        </w:rPr>
        <w:t>, 103 I.L.R., aux pp. 161-162, 1992,  p 155 et p 171.</w:t>
      </w:r>
    </w:p>
  </w:footnote>
  <w:footnote w:id="46">
    <w:p w14:paraId="000000E4"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suprême d’Inde</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i/>
          <w:iCs/>
          <w:sz w:val="20"/>
          <w:szCs w:val="20"/>
          <w:highlight w:val="white"/>
        </w:rPr>
        <w:t>A. K. Roy, etc. c. Union de l’Inde</w:t>
      </w:r>
      <w:r>
        <w:rPr>
          <w:rFonts w:ascii="Times New Roman" w:eastAsia="Times New Roman" w:hAnsi="Times New Roman" w:cs="Times New Roman"/>
          <w:sz w:val="20"/>
          <w:szCs w:val="20"/>
          <w:highlight w:val="white"/>
        </w:rPr>
        <w:t>, 28 décembre 1981, p. 40.</w:t>
      </w:r>
    </w:p>
  </w:footnote>
  <w:footnote w:id="47">
    <w:p w14:paraId="000000E5"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Cour constitutionnelle d’Ouganda, </w:t>
      </w:r>
      <w:r w:rsidRPr="00811AE5">
        <w:rPr>
          <w:rFonts w:ascii="Times New Roman" w:eastAsia="Times New Roman" w:hAnsi="Times New Roman" w:cs="Times New Roman"/>
          <w:i/>
          <w:iCs/>
          <w:sz w:val="20"/>
          <w:szCs w:val="20"/>
          <w:lang w:val="en-GB"/>
        </w:rPr>
        <w:t>Karamagi et un autre c. Procureur général</w:t>
      </w:r>
      <w:r w:rsidRPr="00811AE5">
        <w:rPr>
          <w:rFonts w:ascii="Times New Roman" w:eastAsia="Times New Roman" w:hAnsi="Times New Roman" w:cs="Times New Roman"/>
          <w:sz w:val="20"/>
          <w:szCs w:val="20"/>
          <w:lang w:val="en-GB"/>
        </w:rPr>
        <w:t>, op. cit. p. 12.</w:t>
      </w:r>
    </w:p>
    <w:p w14:paraId="000000E6" w14:textId="77777777" w:rsidR="00135230" w:rsidRPr="00811AE5" w:rsidRDefault="00135230">
      <w:pPr>
        <w:spacing w:line="240" w:lineRule="auto"/>
        <w:rPr>
          <w:sz w:val="20"/>
          <w:szCs w:val="20"/>
          <w:lang w:val="en-GB"/>
        </w:rPr>
      </w:pPr>
    </w:p>
  </w:footnote>
  <w:footnote w:id="48">
    <w:p w14:paraId="000000E7"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Cour pénale internationale, </w:t>
      </w:r>
      <w:hyperlink r:id="rId1">
        <w:r w:rsidR="00135230">
          <w:rPr>
            <w:rFonts w:ascii="Times New Roman" w:eastAsia="Times New Roman" w:hAnsi="Times New Roman" w:cs="Times New Roman"/>
            <w:i/>
            <w:iCs/>
            <w:sz w:val="20"/>
            <w:szCs w:val="20"/>
            <w:highlight w:val="white"/>
          </w:rPr>
          <w:t>Procureur c. Lubanga Dyilo [Décision de confirmation des Charges]</w:t>
        </w:r>
      </w:hyperlink>
      <w:hyperlink r:id="rId2">
        <w:r w:rsidR="00135230">
          <w:rPr>
            <w:rFonts w:ascii="Times New Roman" w:eastAsia="Times New Roman" w:hAnsi="Times New Roman" w:cs="Times New Roman"/>
            <w:sz w:val="20"/>
            <w:szCs w:val="20"/>
            <w:highlight w:val="white"/>
          </w:rPr>
          <w:t>, ICC-01/04-01/06 [29 January 2007] paragr. 303</w:t>
        </w:r>
      </w:hyperlink>
      <w:r>
        <w:rPr>
          <w:rFonts w:ascii="Times New Roman" w:eastAsia="Times New Roman" w:hAnsi="Times New Roman" w:cs="Times New Roman"/>
          <w:sz w:val="20"/>
          <w:szCs w:val="20"/>
        </w:rPr>
        <w:t>.</w:t>
      </w:r>
    </w:p>
  </w:footnote>
  <w:footnote w:id="49">
    <w:p w14:paraId="000000E8"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Cour interaméricaine des droits de l’Homme, </w:t>
      </w:r>
      <w:r>
        <w:rPr>
          <w:rFonts w:ascii="Times New Roman" w:eastAsia="Times New Roman" w:hAnsi="Times New Roman" w:cs="Times New Roman"/>
          <w:i/>
          <w:iCs/>
          <w:sz w:val="20"/>
          <w:szCs w:val="20"/>
          <w:highlight w:val="white"/>
        </w:rPr>
        <w:t>García-Asto et Ramírez-Rojas c. Pérou</w:t>
      </w:r>
      <w:r>
        <w:rPr>
          <w:rFonts w:ascii="Times New Roman" w:eastAsia="Times New Roman" w:hAnsi="Times New Roman" w:cs="Times New Roman"/>
          <w:sz w:val="20"/>
          <w:szCs w:val="20"/>
          <w:highlight w:val="white"/>
        </w:rPr>
        <w:t>, 25 novembre 2005, paragr. 190.</w:t>
      </w:r>
    </w:p>
  </w:footnote>
  <w:footnote w:id="50">
    <w:p w14:paraId="000000E9"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Cour européenne des droits de l’Homme, Grande chambre, </w:t>
      </w:r>
      <w:r>
        <w:rPr>
          <w:rFonts w:ascii="Times New Roman" w:eastAsia="Times New Roman" w:hAnsi="Times New Roman" w:cs="Times New Roman"/>
          <w:i/>
          <w:iCs/>
          <w:sz w:val="20"/>
          <w:szCs w:val="20"/>
        </w:rPr>
        <w:t>Kokkinakis c. Grèce</w:t>
      </w:r>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highlight w:val="white"/>
        </w:rPr>
        <w:t>requête n°14307/88</w:t>
      </w:r>
      <w:r>
        <w:rPr>
          <w:rFonts w:ascii="Times New Roman" w:eastAsia="Times New Roman" w:hAnsi="Times New Roman" w:cs="Times New Roman"/>
          <w:sz w:val="20"/>
          <w:szCs w:val="20"/>
          <w:highlight w:val="white"/>
        </w:rPr>
        <w:t xml:space="preserve">, 25 mai 1993, </w:t>
      </w:r>
      <w:r>
        <w:rPr>
          <w:rFonts w:ascii="Times New Roman" w:eastAsia="Times New Roman" w:hAnsi="Times New Roman" w:cs="Times New Roman"/>
          <w:sz w:val="20"/>
          <w:szCs w:val="20"/>
        </w:rPr>
        <w:t>paragr. 52.</w:t>
      </w:r>
    </w:p>
  </w:footnote>
  <w:footnote w:id="51">
    <w:p w14:paraId="000000EA" w14:textId="77777777" w:rsidR="00135230" w:rsidRDefault="00000000">
      <w:pPr>
        <w:spacing w:line="240" w:lineRule="auto"/>
        <w:jc w:val="both"/>
        <w:rPr>
          <w:rFonts w:ascii="Times New Roman" w:eastAsia="Times New Roman" w:hAnsi="Times New Roman" w:cs="Times New Roman"/>
          <w:i/>
          <w:iCs/>
          <w:sz w:val="20"/>
          <w:szCs w:val="20"/>
        </w:rPr>
      </w:pPr>
      <w:r>
        <w:rPr>
          <w:vertAlign w:val="superscript"/>
        </w:rPr>
        <w:footnoteRef/>
      </w:r>
      <w:r>
        <w:rPr>
          <w:rFonts w:ascii="Times New Roman" w:eastAsia="Times New Roman" w:hAnsi="Times New Roman" w:cs="Times New Roman"/>
          <w:sz w:val="20"/>
          <w:szCs w:val="20"/>
        </w:rPr>
        <w:t xml:space="preserve"> Tribunal de grande instance hors classe de Dakar, 91/CCS/2018, 19 juillet 2018 : </w:t>
      </w:r>
      <w:r>
        <w:rPr>
          <w:rFonts w:ascii="Times New Roman" w:eastAsia="Times New Roman" w:hAnsi="Times New Roman" w:cs="Times New Roman"/>
          <w:i/>
          <w:iCs/>
          <w:sz w:val="20"/>
          <w:szCs w:val="20"/>
        </w:rPr>
        <w:t>“les textes pénaux étant d’interprétation stricte”</w:t>
      </w:r>
    </w:p>
  </w:footnote>
  <w:footnote w:id="52">
    <w:p w14:paraId="000000EB" w14:textId="77777777" w:rsidR="00135230" w:rsidRDefault="00000000">
      <w:pPr>
        <w:spacing w:line="240" w:lineRule="auto"/>
        <w:rPr>
          <w:rFonts w:ascii="Times New Roman" w:eastAsia="Times New Roman" w:hAnsi="Times New Roman" w:cs="Times New Roman"/>
          <w:i/>
          <w:iCs/>
          <w:sz w:val="20"/>
          <w:szCs w:val="20"/>
        </w:rPr>
      </w:pPr>
      <w:r>
        <w:rPr>
          <w:vertAlign w:val="superscript"/>
        </w:rPr>
        <w:footnoteRef/>
      </w:r>
      <w:r>
        <w:rPr>
          <w:rFonts w:ascii="Times New Roman" w:eastAsia="Times New Roman" w:hAnsi="Times New Roman" w:cs="Times New Roman"/>
          <w:sz w:val="20"/>
          <w:szCs w:val="20"/>
        </w:rPr>
        <w:t xml:space="preserve"> Cour suprême du Mali, Section judiciaire, 08 août 2005, 52 : </w:t>
      </w:r>
      <w:r>
        <w:rPr>
          <w:rFonts w:ascii="Times New Roman" w:eastAsia="Times New Roman" w:hAnsi="Times New Roman" w:cs="Times New Roman"/>
          <w:i/>
          <w:iCs/>
          <w:sz w:val="20"/>
          <w:szCs w:val="20"/>
        </w:rPr>
        <w:t>“en matière pénale la loi est d'interprétation stricte”</w:t>
      </w:r>
    </w:p>
  </w:footnote>
  <w:footnote w:id="53">
    <w:p w14:paraId="000000EC" w14:textId="77777777" w:rsidR="00135230" w:rsidRDefault="00000000">
      <w:pPr>
        <w:spacing w:line="240" w:lineRule="auto"/>
        <w:rPr>
          <w:rFonts w:ascii="Times New Roman" w:eastAsia="Times New Roman" w:hAnsi="Times New Roman" w:cs="Times New Roman"/>
          <w:i/>
          <w:iCs/>
          <w:sz w:val="20"/>
          <w:szCs w:val="20"/>
        </w:rPr>
      </w:pPr>
      <w:r>
        <w:rPr>
          <w:vertAlign w:val="superscript"/>
        </w:rPr>
        <w:footnoteRef/>
      </w:r>
      <w:r>
        <w:rPr>
          <w:rFonts w:ascii="Times New Roman" w:eastAsia="Times New Roman" w:hAnsi="Times New Roman" w:cs="Times New Roman"/>
          <w:sz w:val="20"/>
          <w:szCs w:val="20"/>
        </w:rPr>
        <w:t xml:space="preserve"> Cour suprême du Togo, Chambre judiciaire, 16 février 2006, 05/2006 : </w:t>
      </w:r>
      <w:r>
        <w:rPr>
          <w:rFonts w:ascii="Times New Roman" w:eastAsia="Times New Roman" w:hAnsi="Times New Roman" w:cs="Times New Roman"/>
          <w:i/>
          <w:iCs/>
          <w:sz w:val="20"/>
          <w:szCs w:val="20"/>
        </w:rPr>
        <w:t>“les textes pénaux étant d'interprétation stricte, le juge pénal ne peut aller à l'encontre de l'exigence ou la démarche prescrite par l'alinéa 4 de l'article 337 du Code de Procédure Civile qui impose au juge que la décision pénale précède toujours toute investigation, toute mesure d'instruction tendant à préparer la décision à intervenir sur le plan civil”</w:t>
      </w:r>
    </w:p>
  </w:footnote>
  <w:footnote w:id="54">
    <w:p w14:paraId="000000ED"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Cour d’appel de Tanzanie, </w:t>
      </w:r>
      <w:r w:rsidRPr="00811AE5">
        <w:rPr>
          <w:rFonts w:ascii="Times New Roman" w:eastAsia="Times New Roman" w:hAnsi="Times New Roman" w:cs="Times New Roman"/>
          <w:i/>
          <w:iCs/>
          <w:sz w:val="20"/>
          <w:szCs w:val="20"/>
          <w:lang w:val="en-GB"/>
        </w:rPr>
        <w:t>KUKUTIA OLE PUMPUN et un autre c. Procureur général et un autre</w:t>
      </w:r>
      <w:r w:rsidRPr="00811AE5">
        <w:rPr>
          <w:rFonts w:ascii="Times New Roman" w:eastAsia="Times New Roman" w:hAnsi="Times New Roman" w:cs="Times New Roman"/>
          <w:sz w:val="20"/>
          <w:szCs w:val="20"/>
          <w:lang w:val="en-GB"/>
        </w:rPr>
        <w:t>, op. cit., p. 7.</w:t>
      </w:r>
    </w:p>
  </w:footnote>
  <w:footnote w:id="55">
    <w:p w14:paraId="66841721" w14:textId="77777777" w:rsidR="00047DA1" w:rsidRPr="00811AE5" w:rsidRDefault="00047DA1" w:rsidP="00047DA1">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Cour d’appel du Botswana, </w:t>
      </w:r>
      <w:r w:rsidRPr="00811AE5">
        <w:rPr>
          <w:rFonts w:ascii="Times New Roman" w:eastAsia="Times New Roman" w:hAnsi="Times New Roman" w:cs="Times New Roman"/>
          <w:i/>
          <w:iCs/>
          <w:sz w:val="20"/>
          <w:szCs w:val="20"/>
          <w:lang w:val="en-GB"/>
        </w:rPr>
        <w:t>Dow c. Procureur général</w:t>
      </w:r>
      <w:r w:rsidRPr="00811AE5">
        <w:rPr>
          <w:rFonts w:ascii="Times New Roman" w:eastAsia="Times New Roman" w:hAnsi="Times New Roman" w:cs="Times New Roman"/>
          <w:sz w:val="20"/>
          <w:szCs w:val="20"/>
          <w:lang w:val="en-GB"/>
        </w:rPr>
        <w:t>, (1992) 103 I.L.R., 1992, p. 133.</w:t>
      </w:r>
    </w:p>
  </w:footnote>
  <w:footnote w:id="56">
    <w:p w14:paraId="000000EF"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de cassation du Niger, Chambre criminelle, 065/CC/CRIM, 14 novembre 2018.</w:t>
      </w:r>
    </w:p>
  </w:footnote>
  <w:footnote w:id="57">
    <w:p w14:paraId="000000FC" w14:textId="77777777" w:rsidR="00135230"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Tribunal pénal international pour l’ex-Yougoslavie, </w:t>
      </w:r>
      <w:r>
        <w:rPr>
          <w:rFonts w:ascii="Times New Roman" w:eastAsia="Times New Roman" w:hAnsi="Times New Roman" w:cs="Times New Roman"/>
          <w:i/>
          <w:iCs/>
          <w:sz w:val="20"/>
          <w:szCs w:val="20"/>
          <w:highlight w:val="white"/>
        </w:rPr>
        <w:t>Procureur c. Delalić et contre Mucić</w:t>
      </w:r>
      <w:r>
        <w:rPr>
          <w:rFonts w:ascii="Times New Roman" w:eastAsia="Times New Roman" w:hAnsi="Times New Roman" w:cs="Times New Roman"/>
          <w:sz w:val="20"/>
          <w:szCs w:val="20"/>
          <w:highlight w:val="white"/>
        </w:rPr>
        <w:t>, jugement, IT-96-21, 16 novembre 1998], paragr. 413.</w:t>
      </w:r>
    </w:p>
  </w:footnote>
  <w:footnote w:id="58">
    <w:p w14:paraId="000000F0"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pénale internationale, Le Procureur c. Omar HASSAN AHMAD AL BASHIR, Décision relative à la requête de l’Accusation aux fins de délivrance d’un mandat d’arrêt à l’encontre d’Omar Hassan Ahmad Al Bashir, ICC-02/05-01/09, 4 Mars 2009, para 160.</w:t>
      </w:r>
    </w:p>
  </w:footnote>
  <w:footnote w:id="59">
    <w:p w14:paraId="000000F1" w14:textId="77777777" w:rsidR="00135230" w:rsidRPr="00811AE5" w:rsidRDefault="00000000">
      <w:pPr>
        <w:spacing w:line="240" w:lineRule="auto"/>
        <w:jc w:val="both"/>
        <w:rPr>
          <w:rFonts w:ascii="Times New Roman" w:eastAsia="Times New Roman" w:hAnsi="Times New Roman" w:cs="Times New Roman"/>
          <w:sz w:val="20"/>
          <w:szCs w:val="20"/>
          <w:lang w:val="en-GB"/>
        </w:rPr>
      </w:pPr>
      <w:r>
        <w:rPr>
          <w:vertAlign w:val="superscript"/>
        </w:rPr>
        <w:footnoteRef/>
      </w:r>
      <w:r w:rsidRPr="00811AE5">
        <w:rPr>
          <w:rFonts w:ascii="Times New Roman" w:eastAsia="Times New Roman" w:hAnsi="Times New Roman" w:cs="Times New Roman"/>
          <w:sz w:val="20"/>
          <w:szCs w:val="20"/>
          <w:lang w:val="en-GB"/>
        </w:rPr>
        <w:t xml:space="preserve"> Cour suprême du Canada, </w:t>
      </w:r>
      <w:r w:rsidRPr="00811AE5">
        <w:rPr>
          <w:rFonts w:ascii="Times New Roman" w:eastAsia="Times New Roman" w:hAnsi="Times New Roman" w:cs="Times New Roman"/>
          <w:i/>
          <w:iCs/>
          <w:sz w:val="20"/>
          <w:szCs w:val="20"/>
          <w:lang w:val="en-GB"/>
        </w:rPr>
        <w:t>Marcotte c. Sous-procureur général du Canada,</w:t>
      </w:r>
      <w:r w:rsidRPr="00811AE5">
        <w:rPr>
          <w:rFonts w:ascii="Times New Roman" w:eastAsia="Times New Roman" w:hAnsi="Times New Roman" w:cs="Times New Roman"/>
          <w:sz w:val="20"/>
          <w:szCs w:val="20"/>
          <w:lang w:val="en-GB"/>
        </w:rPr>
        <w:t xml:space="preserve"> [1976] 1 S.C.R. 108, 1976, pp. 115-116.</w:t>
      </w:r>
    </w:p>
  </w:footnote>
  <w:footnote w:id="60">
    <w:p w14:paraId="000000F3" w14:textId="77777777" w:rsidR="00135230"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Cour constitutionnelle d’Ouganda, </w:t>
      </w:r>
      <w:r>
        <w:rPr>
          <w:rFonts w:ascii="Times New Roman" w:eastAsia="Times New Roman" w:hAnsi="Times New Roman" w:cs="Times New Roman"/>
          <w:i/>
          <w:iCs/>
          <w:sz w:val="20"/>
          <w:szCs w:val="20"/>
          <w:highlight w:val="white"/>
        </w:rPr>
        <w:t>Olara Otunnu c. Procureur général</w:t>
      </w:r>
      <w:r>
        <w:rPr>
          <w:rFonts w:ascii="Times New Roman" w:eastAsia="Times New Roman" w:hAnsi="Times New Roman" w:cs="Times New Roman"/>
          <w:sz w:val="20"/>
          <w:szCs w:val="20"/>
          <w:highlight w:val="white"/>
        </w:rPr>
        <w:t>, requête constitutionnelle n°12 de 2010, p. 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36C3"/>
    <w:multiLevelType w:val="multilevel"/>
    <w:tmpl w:val="15B65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41094"/>
    <w:multiLevelType w:val="multilevel"/>
    <w:tmpl w:val="AF74A76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8A913FD"/>
    <w:multiLevelType w:val="multilevel"/>
    <w:tmpl w:val="E4CE653E"/>
    <w:lvl w:ilvl="0">
      <w:start w:val="1"/>
      <w:numFmt w:val="decimal"/>
      <w:lvlText w:val="%1."/>
      <w:lvlJc w:val="left"/>
      <w:pPr>
        <w:ind w:left="720" w:hanging="360"/>
      </w:pPr>
      <w:rPr>
        <w:rFonts w:ascii="Times New Roman" w:eastAsia="Times New Roman" w:hAnsi="Times New Roman" w:cs="Times New Roman"/>
        <w:b w:val="0"/>
        <w:bCs w:val="0"/>
        <w:i/>
        <w:iCs/>
        <w:color w:val="00000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A4E10B3"/>
    <w:multiLevelType w:val="multilevel"/>
    <w:tmpl w:val="D2D82A62"/>
    <w:lvl w:ilvl="0">
      <w:start w:val="1"/>
      <w:numFmt w:val="upperLetter"/>
      <w:lvlText w:val="%1."/>
      <w:lvlJc w:val="left"/>
      <w:pPr>
        <w:ind w:left="720" w:hanging="360"/>
      </w:pPr>
      <w:rPr>
        <w:rFonts w:ascii="Arial" w:eastAsia="Arial" w:hAnsi="Arial" w:cs="Arial"/>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F113806"/>
    <w:multiLevelType w:val="multilevel"/>
    <w:tmpl w:val="1FF68300"/>
    <w:lvl w:ilvl="0">
      <w:start w:val="100"/>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F5302D"/>
    <w:multiLevelType w:val="multilevel"/>
    <w:tmpl w:val="F85C9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FF00218"/>
    <w:multiLevelType w:val="multilevel"/>
    <w:tmpl w:val="E870B37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rFonts w:ascii="Times New Roman" w:eastAsia="Times New Roman" w:hAnsi="Times New Roman" w:cs="Times New Roman"/>
        <w:i/>
        <w:iCs/>
        <w:u w:val="singl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7D67765"/>
    <w:multiLevelType w:val="multilevel"/>
    <w:tmpl w:val="56D81DA8"/>
    <w:lvl w:ilvl="0">
      <w:start w:val="1"/>
      <w:numFmt w:val="lowerLetter"/>
      <w:lvlText w:val="%1."/>
      <w:lvlJc w:val="left"/>
      <w:pPr>
        <w:ind w:left="720" w:hanging="360"/>
      </w:pPr>
      <w:rPr>
        <w:rFonts w:ascii="Times New Roman" w:eastAsia="Times New Roman" w:hAnsi="Times New Roman" w:cs="Times New Roman"/>
        <w:b w:val="0"/>
        <w:bCs w:val="0"/>
        <w:i/>
        <w:iCs/>
        <w:color w:val="000000"/>
        <w:sz w:val="24"/>
        <w:szCs w:val="24"/>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03526397">
    <w:abstractNumId w:val="1"/>
  </w:num>
  <w:num w:numId="2" w16cid:durableId="897936977">
    <w:abstractNumId w:val="0"/>
  </w:num>
  <w:num w:numId="3" w16cid:durableId="1861579485">
    <w:abstractNumId w:val="6"/>
  </w:num>
  <w:num w:numId="4" w16cid:durableId="851338523">
    <w:abstractNumId w:val="4"/>
  </w:num>
  <w:num w:numId="5" w16cid:durableId="337739043">
    <w:abstractNumId w:val="3"/>
  </w:num>
  <w:num w:numId="6" w16cid:durableId="1649744822">
    <w:abstractNumId w:val="2"/>
  </w:num>
  <w:num w:numId="7" w16cid:durableId="1468887587">
    <w:abstractNumId w:val="7"/>
  </w:num>
  <w:num w:numId="8" w16cid:durableId="2137720027">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mille Schaltenbrand">
    <w15:presenceInfo w15:providerId="AD" w15:userId="S::camille.schaltenbrand@stophomophobie.com::e334c791-3ab8-4527-b042-837351bfa8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230"/>
    <w:rsid w:val="00033C01"/>
    <w:rsid w:val="00047DA1"/>
    <w:rsid w:val="000D0425"/>
    <w:rsid w:val="000F55CA"/>
    <w:rsid w:val="00111F02"/>
    <w:rsid w:val="00135230"/>
    <w:rsid w:val="002979B2"/>
    <w:rsid w:val="003E3283"/>
    <w:rsid w:val="00401070"/>
    <w:rsid w:val="00403261"/>
    <w:rsid w:val="004F27A0"/>
    <w:rsid w:val="00500D3C"/>
    <w:rsid w:val="005056B8"/>
    <w:rsid w:val="00530584"/>
    <w:rsid w:val="00581DF8"/>
    <w:rsid w:val="0058563D"/>
    <w:rsid w:val="005C1462"/>
    <w:rsid w:val="00600034"/>
    <w:rsid w:val="00631687"/>
    <w:rsid w:val="00663501"/>
    <w:rsid w:val="00674BB2"/>
    <w:rsid w:val="006C5536"/>
    <w:rsid w:val="006D0EA4"/>
    <w:rsid w:val="006D2D64"/>
    <w:rsid w:val="006D730E"/>
    <w:rsid w:val="00707D89"/>
    <w:rsid w:val="00777850"/>
    <w:rsid w:val="00811AE5"/>
    <w:rsid w:val="00824F0F"/>
    <w:rsid w:val="00836FFE"/>
    <w:rsid w:val="008B11E2"/>
    <w:rsid w:val="008C0E9D"/>
    <w:rsid w:val="00927482"/>
    <w:rsid w:val="00931795"/>
    <w:rsid w:val="009342F8"/>
    <w:rsid w:val="0095791B"/>
    <w:rsid w:val="00967886"/>
    <w:rsid w:val="009D6172"/>
    <w:rsid w:val="009D7194"/>
    <w:rsid w:val="00A76D5C"/>
    <w:rsid w:val="00A939F2"/>
    <w:rsid w:val="00B17CB1"/>
    <w:rsid w:val="00B363B5"/>
    <w:rsid w:val="00B63439"/>
    <w:rsid w:val="00B84108"/>
    <w:rsid w:val="00BF1337"/>
    <w:rsid w:val="00C06957"/>
    <w:rsid w:val="00C51473"/>
    <w:rsid w:val="00D5403D"/>
    <w:rsid w:val="00DD351A"/>
    <w:rsid w:val="00DF095D"/>
    <w:rsid w:val="00DF391B"/>
    <w:rsid w:val="00E42DEC"/>
    <w:rsid w:val="00E43110"/>
    <w:rsid w:val="00E45657"/>
    <w:rsid w:val="00E64300"/>
    <w:rsid w:val="00E865C5"/>
    <w:rsid w:val="00EA5C01"/>
    <w:rsid w:val="00EA79BB"/>
    <w:rsid w:val="00EB19A2"/>
    <w:rsid w:val="00F246A6"/>
    <w:rsid w:val="00F411B1"/>
    <w:rsid w:val="00F53A75"/>
    <w:rsid w:val="00F80CEE"/>
    <w:rsid w:val="00F914E2"/>
    <w:rsid w:val="00F92CD9"/>
    <w:rsid w:val="00FD41E1"/>
    <w:rsid w:val="00FF03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F5D697"/>
  <w15:docId w15:val="{F6617444-6AA2-0342-92E5-0D8454BA8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character" w:styleId="Marquedecommentaire">
    <w:name w:val="annotation reference"/>
    <w:basedOn w:val="Policepardfaut"/>
    <w:uiPriority w:val="99"/>
    <w:semiHidden/>
    <w:unhideWhenUsed/>
    <w:rPr>
      <w:sz w:val="16"/>
      <w:szCs w:val="16"/>
    </w:rPr>
  </w:style>
  <w:style w:type="paragraph" w:styleId="Rvision">
    <w:name w:val="Revision"/>
    <w:hidden/>
    <w:uiPriority w:val="99"/>
    <w:semiHidden/>
    <w:rsid w:val="00403261"/>
    <w:pPr>
      <w:spacing w:line="240" w:lineRule="auto"/>
    </w:pPr>
  </w:style>
  <w:style w:type="paragraph" w:styleId="Objetducommentaire">
    <w:name w:val="annotation subject"/>
    <w:basedOn w:val="Commentaire"/>
    <w:next w:val="Commentaire"/>
    <w:link w:val="ObjetducommentaireCar"/>
    <w:uiPriority w:val="99"/>
    <w:semiHidden/>
    <w:unhideWhenUsed/>
    <w:rsid w:val="0058563D"/>
    <w:rPr>
      <w:b/>
      <w:bCs/>
    </w:rPr>
  </w:style>
  <w:style w:type="character" w:customStyle="1" w:styleId="ObjetducommentaireCar">
    <w:name w:val="Objet du commentaire Car"/>
    <w:basedOn w:val="CommentaireCar"/>
    <w:link w:val="Objetducommentaire"/>
    <w:uiPriority w:val="99"/>
    <w:semiHidden/>
    <w:rsid w:val="0058563D"/>
    <w:rPr>
      <w:b/>
      <w:bCs/>
      <w:sz w:val="20"/>
      <w:szCs w:val="20"/>
    </w:rPr>
  </w:style>
  <w:style w:type="paragraph" w:styleId="Paragraphedeliste">
    <w:name w:val="List Paragraph"/>
    <w:basedOn w:val="Normal"/>
    <w:uiPriority w:val="34"/>
    <w:qFormat/>
    <w:rsid w:val="0058563D"/>
    <w:pPr>
      <w:ind w:left="720"/>
      <w:contextualSpacing/>
    </w:pPr>
  </w:style>
  <w:style w:type="paragraph" w:styleId="Notedebasdepage">
    <w:name w:val="footnote text"/>
    <w:basedOn w:val="Normal"/>
    <w:link w:val="NotedebasdepageCar"/>
    <w:uiPriority w:val="99"/>
    <w:semiHidden/>
    <w:unhideWhenUsed/>
    <w:rsid w:val="00824F0F"/>
    <w:pPr>
      <w:spacing w:line="240" w:lineRule="auto"/>
    </w:pPr>
    <w:rPr>
      <w:sz w:val="20"/>
      <w:szCs w:val="20"/>
    </w:rPr>
  </w:style>
  <w:style w:type="character" w:customStyle="1" w:styleId="NotedebasdepageCar">
    <w:name w:val="Note de bas de page Car"/>
    <w:basedOn w:val="Policepardfaut"/>
    <w:link w:val="Notedebasdepage"/>
    <w:uiPriority w:val="99"/>
    <w:semiHidden/>
    <w:rsid w:val="00824F0F"/>
    <w:rPr>
      <w:sz w:val="20"/>
      <w:szCs w:val="20"/>
    </w:rPr>
  </w:style>
  <w:style w:type="character" w:styleId="Appelnotedebasdep">
    <w:name w:val="footnote reference"/>
    <w:basedOn w:val="Policepardfaut"/>
    <w:uiPriority w:val="99"/>
    <w:semiHidden/>
    <w:unhideWhenUsed/>
    <w:rsid w:val="00824F0F"/>
    <w:rPr>
      <w:vertAlign w:val="superscript"/>
    </w:rPr>
  </w:style>
  <w:style w:type="paragraph" w:styleId="NormalWeb">
    <w:name w:val="Normal (Web)"/>
    <w:basedOn w:val="Normal"/>
    <w:uiPriority w:val="99"/>
    <w:semiHidden/>
    <w:unhideWhenUsed/>
    <w:rsid w:val="0077785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pil.ouplaw.com/display/10.1093/law:epil/9780199231690/law-9780199231690-e854?p=emailAc7S8aUEuVBFc&amp;d=/10.1093/law:epil/9780199231690/law-9780199231690-e854&amp;print" TargetMode="External"/><Relationship Id="rId3" Type="http://schemas.openxmlformats.org/officeDocument/2006/relationships/numbering" Target="numbering.xml"/><Relationship Id="rId7" Type="http://schemas.openxmlformats.org/officeDocument/2006/relationships/footnotes" Target="footnotes.xml"/><Relationship Id="rId12"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5" Type="http://schemas.openxmlformats.org/officeDocument/2006/relationships/settings" Target="settings.xml"/><Relationship Id="rId15" Type="http://schemas.microsoft.com/office/2011/relationships/people" Target="people.xml"/><Relationship Id="rId10"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opil.ouplaw.com/display/10.1093/law:epil/9780199231690/law-9780199231690-e854?p=emailAc7S8aUEuVBFc&amp;d=/10.1093/law:epil/9780199231690/law-9780199231690-e854&amp;print" TargetMode="External"/><Relationship Id="rId1" Type="http://schemas.openxmlformats.org/officeDocument/2006/relationships/hyperlink" Target="https://opil.ouplaw.com/display/10.1093/law:epil/9780199231690/law-9780199231690-e854?p=emailAc7S8aUEuVBFc&amp;d=/10.1093/law:epil/9780199231690/law-9780199231690-e854&amp;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HlZ+OQ0Zlis6thzmY5QpCQ3bng==">CgMxLjAaJwoBMBIiCiAIBCocCgtBQUFCODN1SUJPNBAIGgtBQUFCODN1SUJPNBonCgExEiIKIAgEKhwKC0FBQUI4NEFOYmVnEAgaC0FBQUI4NEFOYmVnGicKATISIgogCAQqHAoLQUFBQjg0QU5iZWcQCBoLQUFBQjgzdUlCTzAaJwoBMxIiCiAIBCocCgtBQUFCODN1SUJQSRAIGgtBQUFCODN1SUJQSRonCgE0EiIKIAgEKhwKC0FBQUI4NEFOYmVjEAgaC0FBQUI4NEFOYmVjGicKATUSIgogCAQqHAoLQUFBQjg0QU5iZWMQCBoLQUFBQi1qUzQ1R2caJwoBNhIiCiAIBCocCgtBQUFCODRBTmJmQRAIGgtBQUFCODRBTmJmQRonCgE3EiIKIAgEKhwKC0FBQUI4NEFOYmZBEAgaC0FBQUItalM0NUcwGicKATgSIgogCAQqHAoLQUFBQi1qUzQ1RzQQCBoLQUFBQi1qUzQ1RzQaJwoBORIiCiAIBCocCgtBQUFCODRBTmJlMBAIGgtBQUFCODRBTmJlMBooCgIxMBIiCiAIBCocCgtBQUFCODRBTmJlMBAIGgtBQUFCLWpTNDVJQRooCgIxMRIiCiAIBCocCgtBQUFCODRBTmJlaxAIGgtBQUFCODRBTmJlaxooCgIxMhIiCiAIBCocCgtBQUFCODRBTmJlaxAIGgtBQUFCLWpTNDVLNBooCgIxMxIiCiAIBCocCgtBQUFCODRBTmJlcxAIGgtBQUFCODRBTmJlcxooCgIxNBIiCiAIBCocCgtBQUFCODRBTmJlcxAIGgtBQUFCLWpTNDVQNBooCgIxNRIiCiAIBCocCgtBQUFCODRBTmJlOBAIGgtBQUFCODRBTmJlOBooCgIxNhIiCiAIBCocCgtBQUFCODRBTmJlOBAIGgtBQUFCLWpTNDVRWRooCgIxNxIiCiAIBCocCgtBQUFCODRBTmJlNBAIGgtBQUFCODRBTmJlNBooCgIxOBIiCiAIBCocCgtBQUFCODRBTmJlNBAIGgtBQUFCLWpTNDVRQRooCgIxORIiCiAIBCocCgtBQUFCLWpTNDVRURAIGgtBQUFCLWpTNDVRURooCgIyMBIiCiAIBCocCgtBQUFCODRBTmJlOBAIGgtBQUFCODRBTmJlOBooCgIyMRIiCiAIBCocCgtBQUFCODRBTmJlOBAIGgtBQUFCLWpTNDVRWSLmBgoLQUFBQjg0QU5iZWMSvAYKC0FBQUI4NEFOYmVjEgtBQUFCODRBTmJlYxorCgl0ZXh0L2h0bWwSHkNldHRlIHBocmFzZSBu4oCZYSBwYXMgZGUgc2VucyIsCgp0ZXh0L3BsYWluEh5DZXR0ZSBwaHJhc2UgbuKAmWEgcGFzIGRlIHNlbnMqTgoVQ2FtaWxsZSBTY2hhbHRlbmJyYW5kGjUvL3NzbC5nc3RhdGljLmNvbS9kb2NzL2NvbW1vbi9ibHVlX3NpbGhvdWV0dGU5Ni0wLnBuZzDA7sud6TM4kK6Av+kzQtoDCgtBQUFCLWpTNDVHZxILQUFBQjg0QU5iZWMafgoJdGV4dC9odG1sEnFqJiMzOTthdmFpcyBjb21wcmlzIGxlIHNlbnMgZGUgbGEgcGhyYXNlIGluaXRpYWxlLCBtYWlzIGomIzM5O2FpIGVzc2F5w6kgZGUgcmVmb3JtdWxlciwgZXN0IGNlIHF1ZSDDp2EgdmEgbWlldXggPyJ3Cgp0ZXh0L3BsYWluEmlqJ2F2YWlzIGNvbXByaXMgbGUgc2VucyBkZSBsYSBwaHJhc2UgaW5pdGlhbGUsIG1haXMgaidhaSBlc3NhecOpIGRlIHJlZm9ybXVsZXIsIGVzdCBjZSBxdWUgw6dhIHZhIG1pZXV4ID8qGyIVMTEyNDUwMTYwNTkzNTI2MDI0MTgzKAA4ADCQroC/6TM4kK6Av+kzWgwzZW0wZG9jOGZraTJyAiAAeACaAQYIABAAGACqAXMScWomIzM5O2F2YWlzIGNvbXByaXMgbGUgc2VucyBkZSBsYSBwaHJhc2UgaW5pdGlhbGUsIG1haXMgaiYjMzk7YWkgZXNzYXnDqSBkZSByZWZvcm11bGVyLCBlc3QgY2UgcXVlIMOnYSB2YSBtaWV1eCA/sAEAuAEAyAEAclAKFUNhbWlsbGUgU2NoYWx0ZW5icmFuZBo3CjUvL3NzbC5nc3RhdGljLmNvbS9kb2NzL2NvbW1vbi9ibHVlX3NpbGhvdWV0dGU5Ni0wLnBuZ3gAiAEBmgEGCAAQABgAqgEgEh5DZXR0ZSBwaHJhc2UgbuKAmWEgcGFzIGRlIHNlbnOwAQC4AQHIAQAYwO7LnekzIJCugL/pMzAAQghraXguY210MiKiBgoLQUFBQjg0QU5iZkES+AUKC0FBQUI4NEFOYmZBEgtBQUFCODRBTmJmQRo9Cgl0ZXh0L2h0bWwSMEVuY29yZSBjZXR0ZSBKUCBpbmNvbXByw6loZW5zaWJsZSwgw6AgY2xhcmlmaWVyISI+Cgp0ZXh0L3BsYWluEjBFbmNvcmUgY2V0dGUgSlAgaW5jb21wcsOpaGVuc2libGUsIMOgIGNsYXJpZmllciEqTgoVQ2FtaWxsZSBTY2hhbHRlbmJyYW5kGjUvL3NzbC5nc3RhdGljLmNvbS9kb2NzL2NvbW1vbi9ibHVlX3NpbGhvdWV0dGU5Ni0wLnBuZzCgw8+d6TM42t6hv+kzQuACCgtBQUFCLWpTNDVHMBILQUFBQjg0QU5iZkEaVAoJdGV4dC9odG1sEkdqJiMzOTthaSB0ZW50w6kgdW5lIHBldGl0ZSBleHBsaWNhdGlvbiBkZSBsYSBwb3J0w6kgZGUgY2V0dGUgSlAgb2JzY3VyZSJRCgp0ZXh0L3BsYWluEkNqJ2FpIHRlbnTDqSB1bmUgcGV0aXRlIGV4cGxpY2F0aW9uIGRlIGxhIHBvcnTDqSBkZSBjZXR0ZSBKUCBvYnNjdXJlKhsiFTExMjQ1MDE2MDU5MzUyNjAyNDE4MygAOAAw2t6hv+kzONreob/pM1oMM2U4bDR0ZzJ3ODEzcgIgAHgAmgEGCAAQABgAqgFJEkdqJiMzOTthaSB0ZW50w6kgdW5lIHBldGl0ZSBleHBsaWNhdGlvbiBkZSBsYSBwb3J0w6kgZGUgY2V0dGUgSlAgb2JzY3VyZbABALgBAMgBAHJQChVDYW1pbGxlIFNjaGFsdGVuYnJhbmQaNwo1Ly9zc2wuZ3N0YXRpYy5jb20vZG9jcy9jb21tb24vYmx1ZV9zaWxob3VldHRlOTYtMC5wbmd4AIgBAZoBBggAEAAYAKoBMhIwRW5jb3JlIGNldHRlIEpQIGluY29tcHLDqWhlbnNpYmxlLCDDoCBjbGFyaWZpZXIhsAEAuAEByAEAGKDDz53pMyDa3qG/6TMwAEIIa2l4LmNtdDMiggcKC0FBQUI4NEFOYmVrEtgGCgtBQUFCODRBTmJlaxILQUFBQjg0QU5iZWsaIAoJdGV4dC9odG1sEhNDaXRhdGlvbnMgZXhhY3Rlcz8/IiEKCnRleHQvcGxhaW4SE0NpdGF0aW9ucyBleGFjdGVzPz8qTgoVQ2FtaWxsZSBTY2hhbHRlbmJyYW5kGjUvL3NzbC5nc3RhdGljLmNvbS9kb2NzL2NvbW1vbi9ibHVlX3NpbGhvdWV0dGU5Ni0wLnBuZzCAkf+d6TM4wdLvwOkzQpcECgtBQUFCLWpTNDVLNBILQUFBQjg0QU5iZWsakwEKCXRleHQvaHRtbBKFAUomIzM5O2FpIHN1cHByaW3DqSBsYSBKUCBkJiMzOTthdmFudCBxdWkgbmUgcGFybGFpdCBwYXIgZGUgbGV4IHN0cmljdGEuIEplIHQmIzM5O2FpIG1pcyBsZXMgY2l0YXRpb25zIGV4YWN0ZXMgZW4gbm90ZSBkZSBiYXMgZGUgcGFnZS4ihwEKCnRleHQvcGxhaW4SeUonYWkgc3VwcHJpbcOpIGxhIEpQIGQnYXZhbnQgcXVpIG5lIHBhcmxhaXQgcGFyIGRlIGxleCBzdHJpY3RhLiBKZSB0J2FpIG1pcyBsZXMgY2l0YXRpb25zIGV4YWN0ZXMgZW4gbm90ZSBkZSBiYXMgZGUgcGFnZS4qGyIVMTEyNDUwMTYwNTkzNTI2MDI0MTgzKAA4ADDB0u/A6TM4wdLvwOkzWgx4M3JkbG01ZjV3YWdyAiAAeACaAQYIABAAGACqAYgBEoUBSiYjMzk7YWkgc3VwcHJpbcOpIGxhIEpQIGQmIzM5O2F2YW50IHF1aSBuZSBwYXJsYWl0IHBhciBkZSBsZXggc3RyaWN0YS4gSmUgdCYjMzk7YWkgbWlzIGxlcyBjaXRhdGlvbnMgZXhhY3RlcyBlbiBub3RlIGRlIGJhcyBkZSBwYWdlLrABALgBAMgBAHJQChVDYW1pbGxlIFNjaGFsdGVuYnJhbmQaNwo1Ly9zc2wuZ3N0YXRpYy5jb20vZG9jcy9jb21tb24vYmx1ZV9zaWxob3VldHRlOTYtMC5wbmd4AIgBAZoBBggAEAAYAKoBFRITQ2l0YXRpb25zIGV4YWN0ZXM/P7ABALgBAcgBABiAkf+d6TMgwdLvwOkzMABCCGtpeC5jbXQ2IoUECgtBQUFCLWpTNDVHNBLTAwoLQUFBQi1qUzQ1RzQSC0FBQUItalM0NUc0Gj8KCXRleHQvaHRtbBIycGV1dC3DqnRyZSBxdSYjMzk7b24gcGV1dCBzdXBwIGNlcyBwcsOpcG9zaXRpb25zID8iPAoKdGV4dC9wbGFpbhIucGV1dC3DqnRyZSBxdSdvbiBwZXV0IHN1cHAgY2VzIHByw6lwb3NpdGlvbnMgPyobIhUxMTI0NTAxNjA1OTM1MjYwMjQxODMoADgAMLndrb/pMzi53a2/6TNKrwEKCnRleHQvcGxhaW4SoAFjZSBxdWkgaW5jbHV0IGRhbnMgbGEgcGx1cGFydCBkZXMgY2FzIGxlIHByaW5jaXBlIGRlIGzDqWdhbGl0w6ksIHByw6lzZW50IGRhbnMgZGUgbm9tYnJldXggaW5zdHJ1bWVudHMgaW50ZXJuYXRpb25hdXggZXQgYXlhbnQgdmFsZXVyIGRlIGNvdXR1bWUgaW50ZXJuYXRpb25hbGUuWgxuZnN4MXVnazVvbDhyAiAAeACaAQYIABAAGACqATQSMnBldXQtw6p0cmUgcXUmIzM5O29uIHBldXQgc3VwcCBjZXMgcHLDqXBvc2l0aW9ucyA/sAEAuAEAyAEAGLndrb/pMyC53a2/6TMwAEIQa2l4LnhuOXZuMHQ3MXFsMCLxAwoLQUFBQjg0QU5iZWcSxwMKC0FBQUI4NEFOYmVnEgtBQUFCODRBTmJlZxoXCgl0ZXh0L2h0bWwSClBhcyBjbGFpciEiGAoKdGV4dC9wbGFpbhIKUGFzIGNsYWlyISpOChVDYW1pbGxlIFNjaGFsdGVuYnJhbmQaNS8vc3NsLmdzdGF0aWMuY29tL2RvY3MvY29tbW9uL2JsdWVfc2lsaG91ZXR0ZTk2LTAucG5nMIDFxJ3pMzjIpu646TNCoQEKC0FBQUI4M3VJQk8wEgtBQUFCODRBTmJlZxoTCgl0ZXh0L2h0bWwSBmRlIG91ZiIUCgp0ZXh0L3BsYWluEgZkZSBvdWYqGyIVMTEyNDUwMTYwNTkzNTI2MDI0MTgzKAA4ADDIpu646TM4yKbuuOkzWgxjb2dmN2hjMjB5N3lyAiAAeACaAQYIABAAGACqAQgSBmRlIG91ZrABALgBAMgBAHJQChVDYW1pbGxlIFNjaGFsdGVuYnJhbmQaNwo1Ly9zc2wuZ3N0YXRpYy5jb20vZG9jcy9jb21tb24vYmx1ZV9zaWxob3VldHRlOTYtMC5wbmd4AIgBAZoBBggAEAAYAKoBDBIKUGFzIGNsYWlyIbABALgBAcgBABiAxcSd6TMgyKbuuOkzMABCCGtpeC5jbXQwIuMICgtBQUFCODN1SUJPNBKxCAoLQUFBQjgzdUlCTzQSC0FBQUI4M3VJQk80GtkBCgl0ZXh0L2h0bWwSywFmb3JtdWxhdGlvbiB0csOocyAmcXVvdDtqdXJpZGlxdWUmcXVvdDsgcXVpIG0mIzM5O2EgZGVtYW5kw6kgdW4gZWZmb3J0IGRlIHLDqWZsZXhpb24gcG91ciBjb21wcmVuZHJlIGxlIHNlbnPCoCBkZSBsYSBwaHJhc2UuIEVzdC1jZSBxdSYjMzk7aWwgbmUgZmF1ZHJhaXQgcGFzIHJlZm9ybXVsZXIgYWZpbiBxdWUgY2Ugc29pdCBwbHVzIGFjY2Vzc2libGUgPyLIAQoKdGV4dC9wbGFpbhK5AWZvcm11bGF0aW9uIHRyw6hzICJqdXJpZGlxdWUiIHF1aSBtJ2EgZGVtYW5kw6kgdW4gZWZmb3J0IGRlIHLDqWZsZXhpb24gcG91ciBjb21wcmVuZHJlIGxlIHNlbnPCoCBkZSBsYSBwaHJhc2UuIEVzdC1jZSBxdSdpbCBuZSBmYXVkcmFpdCBwYXMgcmVmb3JtdWxlciBhZmluIHF1ZSBjZSBzb2l0IHBsdXMgYWNjZXNzaWJsZSA/KhsiFTExMjQ1MDE2MDU5MzUyNjAyNDE4MygAOAAwqvDzuOkzOKrw87jpM0rKAgoKdGV4dC9wbGFpbhK7AkNvbmZyb250w6lzIMOgIHVuIGFyZ3VtZW50YWlyZSBqdXJpZGlxdWUgZm9uZMOpIHN1ciBsZSBub24tcmVzcGVjdCBkZSBs4oCZb2JsaWdhdGlvbiBkZSBMZXggY2VydGEsIGNlcnRhaW5zIMOJdGF0cyBpbnZvcXVlbnQgbOKAmcOpY2xhaXJhZ2UgYXBwb3J0w6kgcGFyIGRlcyDDqWzDqW1lbnRzIGV4dMOpcmlldXJzIGNvbW1lIGxhIGp1cmlzcHJ1ZGVuY2UsIGTigJlhdXRyZXMgZGlzcG9zaXRpb25zIG91IGVuY29yZSBsYSBkb2N0cmluZSBxdWkgcGVybWV0dHJhaXQgc2Vsb24gZXV4IGRlIHJlc3BlY3RlciBs4oCZZXhpZ2VuY2UgZGUgTGV4IGNlcnRhLloMd21nMXlvY3Nxc2NkcgIgAHgAmgEGCAAQABgAqgHOARLLAWZvcm11bGF0aW9uIHRyw6hzICZxdW90O2p1cmlkaXF1ZSZxdW90OyBxdWkgbSYjMzk7YSBkZW1hbmTDqSB1biBlZmZvcnQgZGUgcsOpZmxleGlvbiBwb3VyIGNvbXByZW5kcmUgbGUgc2Vuc8KgIGRlIGxhIHBocmFzZS4gRXN0LWNlIHF1JiMzOTtpbCBuZSBmYXVkcmFpdCBwYXMgcmVmb3JtdWxlciBhZmluIHF1ZSBjZSBzb2l0IHBsdXMgYWNjZXNzaWJsZSA/sAEAuAEAyAEAGKrw87jpMyCq8PO46TMwAEIQa2l4LmhzdmJ6OHUxbm5vdiLbBgoLQUFBQjg0QU5iZXMSsQYKC0FBQUI4NEFOYmVzEgtBQUFCODRBTmJlcxoYCgl0ZXh0L2h0bWwSC0NpdGF0aW9ucz8/IhkKCnRleHQvcGxhaW4SC0NpdGF0aW9ucz8/Kk4KFUNhbWlsbGUgU2NoYWx0ZW5icmFuZBo1Ly9zc2wuZ3N0YXRpYy5jb20vZG9jcy9jb21tb24vYmx1ZV9zaWxob3VldHRlOTYtMC5wbmcwwLqGnukzOL+dhcLpM0KIBAoLQUFBQi1qUzQ1UDQSC0FBQUI4NEFOYmVzGpEBCgl0ZXh0L2h0bWwSgwFqJiMzOTthaSBzdXBwcmltw6kgbGEgbWVudGlvbiBkZSBsYSBDb3VyIGRlIExlc290aG8sIGplIG4mIzM5O2FpIHBhcyB0cm91dsOpIGRlIGNpdGF0aW9uIGRhbnMgbCYjMzk7YXJyw6p0IHF1aSBwYXJsYWl0IGRlIGNlIHByb3BvcyKFAQoKdGV4dC9wbGFpbhJ3aidhaSBzdXBwcmltw6kgbGEgbWVudGlvbiBkZSBsYSBDb3VyIGRlIExlc290aG8sIGplIG4nYWkgcGFzIHRyb3V2w6kgZGUgY2l0YXRpb24gZGFucyBsJ2FycsOqdCBxdWkgcGFybGFpdCBkZSBjZSBwcm9wb3MqGyIVMTEyNDUwMTYwNTkzNTI2MDI0MTgzKAA4ADC/nYXC6TM4v52FwukzWgwydzRla2N0eHlvOHpyAiAAeACaAQYIABAAGACqAYYBEoMBaiYjMzk7YWkgc3VwcHJpbcOpIGxhIG1lbnRpb24gZGUgbGEgQ291ciBkZSBMZXNvdGhvLCBqZSBuJiMzOTthaSBwYXMgdHJvdXbDqSBkZSBjaXRhdGlvbiBkYW5zIGwmIzM5O2FycsOqdCBxdWkgcGFybGFpdCBkZSBjZSBwcm9wb3NyUAoVQ2FtaWxsZSBTY2hhbHRlbmJyYW5kGjcKNS8vc3NsLmdzdGF0aWMuY29tL2RvY3MvY29tbW9uL2JsdWVfc2lsaG91ZXR0ZTk2LTAucG5neACIAQGaAQYIABAAGACqAQ0SC0NpdGF0aW9ucz8/sAEAuAEByAEAGMC6hp7pMyC/nYXC6TMwAEIIa2l4LmNtdDcixgoKC0FBQUI4M3VJQlBJEpQKCgtBQUFCODN1SUJQSRILQUFBQjgzdUlCUEkaegoJdGV4dC9odG1sEm1sZXMgSlAsIHNpIGxldXJzIHJlc3RpdHV0aW9ucyBzb250IGZpZMOobGVzIGF1eCBhcnLDqnRzIGludm9xdcOpcywgc29udCBjb2jDqXJlbnRlcyBhdmVjIGxlIHByb3BvcyBkZSBsYSBub3RlInsKCnRleHQvcGxhaW4SbWxlcyBKUCwgc2kgbGV1cnMgcmVzdGl0dXRpb25zIHNvbnQgZmlkw6hsZXMgYXV4IGFycsOqdHMgaW52b3F1w6lzLCBzb250IGNvaMOpcmVudGVzIGF2ZWMgbGUgcHJvcG9zIGRlIGxhIG5vdGUqGyIVMTEyNDUwMTYwNTkzNTI2MDI0MTgzKAA4ADDcs5S56TM43LOUuekzSrsGCgp0ZXh0L3BsYWluEqwGwqsgUXVpdGUgY2xlYXJseSB0aGUgYXJ0aWNsZSAoMjguMTIgb2YgdGhlIENvbnN0aXR1dGlvbikgcmVxdWlyZXMgYSBjcmltaW5hbCBvZmZlbmNlIHRvIGJlIGRlZmluZWQgYnkgbGF3LiBsdCBkb2VzIG5vdCByZXF1aXJlIGV2ZXJ5IHdvcmQgdXNlZCBpbiB0aGUgbGF3IHRvIGJlIGRlZmluZWQuIE5vciBkb2VzIGl0IHJlcXVpcmUgdGhlIG9mZmVuY2UgdG8gYmUgZGVmaW5lZCBpbiB0aGUgc2VjdGlvbiB3aGljaCBjcmVhdGVzIHRoZSBvZmZlbmNlIFsuLi5dLiAgV2hhdCBpcyByZXF1aXJlZCBpcyB0byBleHBvdW5kIHRoZSB3b3JkcyB1c2VkLiBsZiB0aGUgbWVhbmluZyBpcyBub3QgcGxhaW4sIHRoZW4gdGhlIGNvdXJ0IGlzIHVuZGVyIGEgZHV0eSB0byBjb25zdHJ1ZSB0aGUgd29yZHMgdG8gZ2l2ZSBlZmZlY3QgdG8gdGhlIG9iamVjdHMgb2YgdGhlIExlZ2lzbGF0dXJlIGFuZCB0byBkbyBqdXN0aWNlIHRvIHRoZSBwYXJ0aWVzLiDCuy4KRGUgbcOqbWUsIGTigJlhcHLDqHMgbGEgSGF1dGUgQ291ciBkdSBLZW55YSA6IArCqyBIYXZpbmcgZXN0YWJsaXNoZWQgdGhhdCB0aGUgaW1wdWduZWQgcGhyYXNlcyBoYXZlIGJlZW4gY2xlYXJseSBkZWZpbmVkIGluIGxhdyBkaWN0aW9uYXJpZXMgYW5kIGluIGEgY2F0ZW5hIG9mIGp1ZGljaWFsIHByb25vdW5jZW1lbnRzLCBpdCBpcyBvdXIgY29uc2lkZXJlZCB2aWV3IHRoYXQgbGFjayBvZiBkZWZpbml0aW9ucyBpbiB0aGUgc3RhdHV0ZSBwZXIgc2UgZG9lcyBub3QgcmVuZGVyIHRoZSBpbXB1Z25lZCBwcm92aXNpb25zIHZhZ3VlLCBhbWJpZ3VvdXMgb3IgdW5jZXJ0YWluLiDCuy5aDHQyOWFzcm5sN2F6YXICIAB4AJoBBggAEAAYAKoBbxJtbGVzIEpQLCBzaSBsZXVycyByZXN0aXR1dGlvbnMgc29udCBmaWTDqGxlcyBhdXggYXJyw6p0cyBpbnZvcXXDqXMsIHNvbnQgY29ow6lyZW50ZXMgYXZlYyBsZSBwcm9wb3MgZGUgbGEgbm90ZbABALgBAMgBABjcs5S56TMg3LOUuekzMABCEGtpeC54bm9xYnQ2Nm12cGQi/QQKC0FBQUI4NEFOYmU0EtMECgtBQUFCODRBTmJlNBILQUFBQjg0QU5iZTQaKgoJdGV4dC9odG1sEh1IeXBlciBtYWwgZm9ybXVsw6ksIHJlcHJlbmRyZSIrCgp0ZXh0L3BsYWluEh1IeXBlciBtYWwgZm9ybXVsw6ksIHJlcHJlbmRyZSpOChVDYW1pbGxlIFNjaGFsdGVuYnJhbmQaNS8vc3NsLmdzdGF0aWMuY29tL2RvY3MvY29tbW9uL2JsdWVfc2lsaG91ZXR0ZTk2LTAucG5nMMCNlZ7pMzizrZ7C6TNC9AEKC0FBQUItalM0NVFBEgtBQUFCODRBTmJlNBozCgl0ZXh0L2h0bWwSJmomIzM5O2FpIHJlZm9ybXVsw6ksIMOnYSB0ZSBjb252aWVudCA/IjAKCnRleHQvcGxhaW4SImonYWkgcmVmb3JtdWzDqSwgw6dhIHRlIGNvbnZpZW50ID8qGyIVMTEyNDUwMTYwNTkzNTI2MDI0MTgzKAA4ADCzrZ7C6TM4s62ewukzWgw3cXdtdXFmY2IyenJyAiAAeACaAQYIABAAGACqASgSJmomIzM5O2FpIHJlZm9ybXVsw6ksIMOnYSB0ZSBjb252aWVudCA/clAKFUNhbWlsbGUgU2NoYWx0ZW5icmFuZBo3CjUvL3NzbC5nc3RhdGljLmNvbS9kb2NzL2NvbW1vbi9ibHVlX3NpbGhvdWV0dGU5Ni0wLnBuZ3gAiAEBmgEGCAAQABgAqgEfEh1IeXBlciBtYWwgZm9ybXVsw6ksIHJlcHJlbmRyZbABALgBAcgBABjAjZWe6TMgs62ewukzMABCCGtpeC5jbXQ5Ip4ECgtBQUFCODRBTmJlMBL0AwoLQUFBQjg0QU5iZTASC0FBQUI4NEFOYmUwGicKCXRleHQvaHRtbBIaQmVzb2luIGRlIGNpdGF0aW9uIGRpcmVjdGUiKAoKdGV4dC9wbGFpbhIaQmVzb2luIGRlIGNpdGF0aW9uIGRpcmVjdGUqTgoVQ2FtaWxsZSBTY2hhbHRlbmJyYW5kGjUvL3NzbC5nc3RhdGljLmNvbS9kb2NzL2NvbW1vbi9ibHVlX3NpbGhvdWV0dGU5Ni0wLnBuZzDgkvSd6TM497rSv+kzQp4BCgtBQUFCLWpTNDVJQRILQUFBQjg0QU5iZTAaEgoJdGV4dC9odG1sEgVjaGVjayITCgp0ZXh0L3BsYWluEgVjaGVjayobIhUxMTI0NTAxNjA1OTM1MjYwMjQxODMoADgAMPe60r/pMzj3utK/6TNaDHZsb2pyY2g4cHB1N3ICIAB4AJoBBggAEAAYAKoBBxIFY2hlY2uwAQC4AQDIAQByUAoVQ2FtaWxsZSBTY2hhbHRlbmJyYW5kGjcKNS8vc3NsLmdzdGF0aWMuY29tL2RvY3MvY29tbW9uL2JsdWVfc2lsaG91ZXR0ZTk2LTAucG5neACIAQGaAQYIABAAGACqARwSGkJlc29pbiBkZSBjaXRhdGlvbiBkaXJlY3RlsAEAuAEByAEAGOCS9J3pMyD3utK/6TMwAEIIa2l4LmNtdDQihAoKC0FBQUI4NEFOYmU4EtoJCgtBQUFCODRBTmJlOBILQUFBQjg0QU5iZTgauQEKCXRleHQvaHRtbBKrAT8/PyBRdeKAmWVzdCBjZSBxdWUgY+KAmWVzdCBxdWUgY2V0IGVuY2FkcsOpIMOpdHJhbmdlPyBFdCBjZSByYWlzb25uZW1lbnQgbuKAmWVzdCBwYXMgbm91dmVhdSwgY+KAmWVzdCBsZSByYWlzb25uZW1lbnQgdHJhbnN2ZXJzYWwgZGUgbOKAmWludMOpZ3JhbGl0w6kgZGUgbOKAmWFyZ3VtZW50YWlyZSK6AQoKdGV4dC9wbGFpbhKrAT8/PyBRdeKAmWVzdCBjZSBxdWUgY+KAmWVzdCBxdWUgY2V0IGVuY2FkcsOpIMOpdHJhbmdlPyBFdCBjZSByYWlzb25uZW1lbnQgbuKAmWVzdCBwYXMgbm91dmVhdSwgY+KAmWVzdCBsZSByYWlzb25uZW1lbnQgdHJhbnN2ZXJzYWwgZGUgbOKAmWludMOpZ3JhbGl0w6kgZGUgbOKAmWFyZ3VtZW50YWlyZSpOChVDYW1pbGxlIFNjaGFsdGVuYnJhbmQaNS8vc3NsLmdzdGF0aWMuY29tL2RvY3MvY29tbW9uL2JsdWVfc2lsaG91ZXR0ZTk2LTAucG5nMKCPip7pMzjLocrC6TNCywMKC0FBQUItalM0NVFZEgtBQUFCODRBTmJlOBp8Cgl0ZXh0L2h0bWwSb2omIzM5O2FpIGVzc2F5w6kgZGUgcmVmb3JtdWxlciBldCBqJiMzOTthaSBib3Vnw6kgbGUgcGFyYWdyYXBoZSDDoCBsYSBmaW4gcG91ciBlbiBmYWlyZSB1bmUgc29ydGUgZGUgY29uY2x1c2lvbiJ1Cgp0ZXh0L3BsYWluEmdqJ2FpIGVzc2F5w6kgZGUgcmVmb3JtdWxlciBldCBqJ2FpIGJvdWfDqSBsZSBwYXJhZ3JhcGhlIMOgIGxhIGZpbiBwb3VyIGVuIGZhaXJlIHVuZSBzb3J0ZSBkZSBjb25jbHVzaW9uKhsiFTExMjQ1MDE2MDU5MzUyNjAyNDE4MygAOAAwy6HKwukzOMuhysLpM1oMNmtxYm4zeGt5M2lycgIgAHgAmgEGCAAQABgAqgFxEm9qJiMzOTthaSBlc3NhecOpIGRlIHJlZm9ybXVsZXIgZXQgaiYjMzk7YWkgYm91Z8OpIGxlIHBhcmFncmFwaGUgw6AgbGEgZmluIHBvdXIgZW4gZmFpcmUgdW5lIHNvcnRlIGRlIGNvbmNsdXNpb25yUAoVQ2FtaWxsZSBTY2hhbHRlbmJyYW5kGjcKNS8vc3NsLmdzdGF0aWMuY29tL2RvY3MvY29tbW9uL2JsdWVfc2lsaG91ZXR0ZTk2LTAucG5neACIAQGaAQYIABAAGACqAa4BEqsBPz8/IFF14oCZZXN0IGNlIHF1ZSBj4oCZZXN0IHF1ZSBjZXQgZW5jYWRyw6kgw6l0cmFuZ2U/IEV0IGNlIHJhaXNvbm5lbWVudCBu4oCZZXN0IHBhcyBub3V2ZWF1LCBj4oCZZXN0IGxlIHJhaXNvbm5lbWVudCB0cmFuc3ZlcnNhbCBkZSBs4oCZaW50w6lncmFsaXTDqSBkZSBs4oCZYXJndW1lbnRhaXJlsAEAuAEByAEAGKCPip7pMyDLocrC6TMwAEIIa2l4LmNtdDgimAcKC0FBQUItalM0NVFREugGCgtBQUFCLWpTNDVRURILQUFBQi1qUzQ1UVEaUQoJdGV4dC9odG1sEkRqJiMzOTthaSBib3Vnw6kgY2UgcGFyYWdyYXBoZSBkZSBwbGFjZSwgamUgdHJvdXZhaXMgw6dhIHBsdXMgbG9naXF1ZSJOCgp0ZXh0L3BsYWluEkBqJ2FpIGJvdWfDqSBjZSBwYXJhZ3JhcGhlIGRlIHBsYWNlLCBqZSB0cm91dmFpcyDDp2EgcGx1cyBsb2dpcXVlKhsiFTExMjQ1MDE2MDU5MzUyNjAyNDE4MygAOAAwhrSswukzOIa0rMLpM0qXBAoKdGV4dC9wbGFpbhKIBMOAIGNlIHN1amV0IGxlIFRyaWJ1bmFsIHDDqW5hbCBpbnRlcm5hdGlvbmFsIHBvdXIgbOKAmWV4LVlvdWdvc2xhdmllIMOpbm9uw6dhaXQgZW4gMTk5OCBkYW5zIHNvbiBqdWdlbWVudCBQcm9jdXJldXIgYy4gRGVsYWxpxIcgOgrCqyBMJ2VmZmV0IGQndW5lIGludGVycHLDqXRhdGlvbiBzdHJpY3RlIGRlcyBkaXNwb3NpdGlvbnMgZCd1bmUgbG9pIHDDqW5hbGUgZXN0IHF1ZSwgbG9yc3F1J3VuIG1vdCDDqXF1aXZvcXVlIG91IHVuZSBwaHJhc2UgYW1iaWd1w6sgbGFpc3NlIHN1YnNpc3RlciB1biBkb3V0ZSByYWlzb25uYWJsZSBxdWFudCDDoCBzYSBzaWduaWZpY2F0aW9uIHF1ZSBsZXMgcsOoZ2xlcyBkJ2ludGVycHLDqXRhdGlvbiBuZSBwYXJ2aWVubmVudCBwYXMgw6AgbGV2ZXIsIGxlIGLDqW7DqWZpY2UgZHUgZG91dGUgZG9pdCDDqnRyZSBhY2NvcmTDqSDDoCBsYSBwYXJ0aWUgY29uY2VybsOpZSBldCBjb250cmUgbGUgbMOpZ2lzbGF0ZXVyIHF1aSBuJ2EgcGFzIHN1IHMnZXhwbGlxdWVyLiBbLi4uXSDCuy5aDHBzMnp1anB6Nnd1NXICIAB4AJoBBggAEAAYAKoBRhJEaiYjMzk7YWkgYm91Z8OpIGNlIHBhcmFncmFwaGUgZGUgcGxhY2UsIGplIHRyb3V2YWlzIMOnYSBwbHVzIGxvZ2lxdWUYhrSswukzIIa0rMLpM0IQa2l4Lmpka3lsY21ibHdwbjgAaiUKFHN1Z2dlc3Qud2F5ZWNxcWduMzNnEg1TaGl2YW4gUGF0cm9vciExY3duUjgwdnVxNGtDbktTVy1rdUZRQzQ5b0lJYmJfZ3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3A4638-6C1D-4E60-8866-6E355F33C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5051</Words>
  <Characters>27784</Characters>
  <Application>Microsoft Office Word</Application>
  <DocSecurity>0</DocSecurity>
  <Lines>231</Lines>
  <Paragraphs>65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dc:creator>
  <cp:lastModifiedBy>Camille Schaltenbrand</cp:lastModifiedBy>
  <cp:revision>2</cp:revision>
  <dcterms:created xsi:type="dcterms:W3CDTF">2026-06-09T15:31:00Z</dcterms:created>
  <dcterms:modified xsi:type="dcterms:W3CDTF">2026-06-09T15:31:00Z</dcterms:modified>
</cp:coreProperties>
</file>